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 有意差なし</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 有意差なし</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 有意差なし</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 有意差なし</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需要–供給の乖離：CSLC有訴者率（人口千対）と急性鎮痛薬処方（手術あたり）。各点は1都道府県を示し、地域ブロック別に色分け。相関の欠如（r=0.03）は処方差異が症状負荷と乖離していることを示す。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長く続く痛みに関する実態調査（2012年 vs 2017年比較）. https://www.pfizer.co.jp/pfizer/company/press/2017/2017_08_23.html. 2022年5月28日アクセス. アーカイブ: https://web.archive.org/web/20220528073616/https://www.pfizer.co.jp/pfizer/company/press/2017/2017_08_23.html</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