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医療費は経済効果である</w:t>
        <w:br/>
        <w:t>— 産業連関乗数・健康資本テンポ効果・三層テンポ構造に基づく</w:t>
        <w:br/>
        <w:t>ニュートラルな持続可能性フレームワーク</w:t>
      </w:r>
    </w:p>
    <w:p>
      <w:pPr>
        <w:pStyle w:val="Heading1"/>
      </w:pPr>
      <w:r>
        <w:t>要旨</w:t>
      </w:r>
    </w:p>
    <w:p>
      <w:r>
        <w:t>医療費は従来、財政上の「コスト」として抑制すべき対象と位置づけられてきた。しかし産業連関（I-O）分析によれば、医療支出1単位あたり日本では2.78倍の経済波及効果が生じ</w:t>
      </w:r>
      <w:r>
        <w:rPr>
          <w:sz w:val="16"/>
          <w:vertAlign w:val="superscript"/>
        </w:rPr>
        <w:t>1</w:t>
      </w:r>
      <w:r>
        <w:t>、OECD諸国でも1.7〜2.9倍の乗数効果が報告されている</w:t>
      </w:r>
      <w:r>
        <w:rPr>
          <w:sz w:val="16"/>
          <w:vertAlign w:val="superscript"/>
        </w:rPr>
        <w:t>2-4</w:t>
      </w:r>
      <w:r>
        <w:t>。さらにHealth-Led Growth Hypothesis (HLGH) の実証研究は、医療支出とGDP成長の間に双方向の因果関係が存在することを示している</w:t>
      </w:r>
      <w:r>
        <w:rPr>
          <w:sz w:val="16"/>
          <w:vertAlign w:val="superscript"/>
        </w:rPr>
        <w:t>5-8</w:t>
      </w:r>
      <w:r>
        <w:t>。本稿では、人口学のBongaarts-Feeney テンポ効果</w:t>
      </w:r>
      <w:r>
        <w:rPr>
          <w:sz w:val="16"/>
          <w:vertAlign w:val="superscript"/>
        </w:rPr>
        <w:t>9</w:t>
      </w:r>
      <w:r>
        <w:t>をGDP資本会計</w:t>
      </w:r>
      <w:r>
        <w:rPr>
          <w:sz w:val="16"/>
          <w:vertAlign w:val="superscript"/>
        </w:rPr>
        <w:t>10</w:t>
      </w:r>
      <w:r>
        <w:t>さらに医療支出</w:t>
      </w:r>
      <w:r>
        <w:rPr>
          <w:sz w:val="16"/>
          <w:vertAlign w:val="superscript"/>
        </w:rPr>
        <w:t>11</w:t>
      </w:r>
      <w:r>
        <w:t>へと三層的に移植する枠組みを基盤とし、(1) I-O乗数による需要側リターン、(2) 健康資本ストックのテンポ効果による供給側リターンを統合した「ニュートラルな持続可能性基準」を提案する。13か国のデータを用いた分析では、需要側のみの財政回収率（τ·m / pf）が1.0を超えたのは5か国であったが、残りの国も0.76〜0.96と大部分を回収していた。供給側リターンを加味すれば大半の国で持続可能性が成立しうる。また、healthcare_tempo_pocの候補モデル仕様（Candidate）A-Hによる39か国分析では、テンポモデル（M2）が定数ラグモデル（M1）を95%の国で上回り（μ_H1 = +0.15年/年）</w:t>
      </w:r>
      <w:r>
        <w:rPr>
          <w:sz w:val="16"/>
          <w:vertAlign w:val="superscript"/>
        </w:rPr>
        <w:t>11</w:t>
      </w:r>
      <w:r>
        <w:t>、フロー指標のみの評価がリターンを系統的に過小評価していることが確認された。</w:t>
      </w:r>
    </w:p>
    <w:p>
      <w:pPr>
        <w:pStyle w:val="Heading1"/>
      </w:pPr>
      <w:r>
        <w:t>1. はじめに</w:t>
      </w:r>
    </w:p>
    <w:p>
      <w:r>
        <w:t>日本政府は2005年の「骨太の方針」以来、国民医療費の伸びの抑制を政策目標としてきた。2019年の日本の対GDP保健医療支出は11.0%でOECD38か国中第5位であり</w:t>
      </w:r>
      <w:r>
        <w:rPr>
          <w:sz w:val="16"/>
          <w:vertAlign w:val="superscript"/>
        </w:rPr>
        <w:t>12</w:t>
      </w:r>
      <w:r>
        <w:t>、高齢化の進行とともに医療費の「持続可能性」は中心的な政策課題となっている</w:t>
      </w:r>
      <w:r>
        <w:rPr>
          <w:sz w:val="16"/>
          <w:vertAlign w:val="superscript"/>
        </w:rPr>
        <w:t>13</w:t>
      </w:r>
      <w:r>
        <w:t>。</w:t>
      </w:r>
    </w:p>
    <w:p>
      <w:r>
        <w:t>しかし、この議論はほぼ一貫して医療費を「コスト」として扱い、抑制・効率化の対象としてのみ位置づけてきた。一方で、医療は産業としてサプライチェーン全体に経済波及効果を及ぼし、雇用を創出し、税収を生み出す。前田（2008）は日本の医療が周辺産業を含めて689万人の雇用を支え、生産波及効果はサービス業中最大であると報告した</w:t>
      </w:r>
      <w:r>
        <w:rPr>
          <w:sz w:val="16"/>
          <w:vertAlign w:val="superscript"/>
        </w:rPr>
        <w:t>14</w:t>
      </w:r>
      <w:r>
        <w:t>。Yamada &amp; Imanaka（2015）はI-O分析により、医療の経済波及乗数が2.78倍（95% CI: 2.74-2.90）であることを示した</w:t>
      </w:r>
      <w:r>
        <w:rPr>
          <w:sz w:val="16"/>
          <w:vertAlign w:val="superscript"/>
        </w:rPr>
        <w:t>1</w:t>
      </w:r>
      <w:r>
        <w:t>。</w:t>
      </w:r>
    </w:p>
    <w:p>
      <w:r>
        <w:t>本稿の目的は、医療費を「コストでもあり経済効果でもある」というニュートラルな立場から再評価し、持続可能性を需要側（I-O乗数）と供給側（健康資本ストック）の二重リターンの観点から定式化することである。特に、人口学のテンポ効果</w:t>
      </w:r>
      <w:r>
        <w:rPr>
          <w:sz w:val="16"/>
          <w:vertAlign w:val="superscript"/>
        </w:rPr>
        <w:t>9</w:t>
      </w:r>
      <w:r>
        <w:t>がGDP資本会計</w:t>
      </w:r>
      <w:r>
        <w:rPr>
          <w:sz w:val="16"/>
          <w:vertAlign w:val="superscript"/>
        </w:rPr>
        <w:t>10</w:t>
      </w:r>
      <w:r>
        <w:t>さらに医療</w:t>
      </w:r>
      <w:r>
        <w:rPr>
          <w:sz w:val="16"/>
          <w:vertAlign w:val="superscript"/>
        </w:rPr>
        <w:t>11</w:t>
      </w:r>
      <w:r>
        <w:t>へと三層的に移植される構造を明示し、フロー偏重の政策評価がいかに投資リターンを過小評価しているかを示す。</w:t>
      </w:r>
    </w:p>
    <w:p>
      <w:pPr>
        <w:pStyle w:val="Heading1"/>
      </w:pPr>
      <w:r>
        <w:t>2. 背景：医療費の二面性</w:t>
      </w:r>
    </w:p>
    <w:p>
      <w:pPr>
        <w:pStyle w:val="Heading2"/>
      </w:pPr>
      <w:r>
        <w:t>2.1 需要側：産業連関乗数</w:t>
      </w:r>
    </w:p>
    <w:p>
      <w:r>
        <w:t>産業連関分析（Input-Output analysis）はLeontief（1936）に端を発する手法で、ある産業への最終需要が直接効果・間接効果・誘発効果を通じて経済全体にどれだけの生産を誘発するかを定量化する。医療セクターについて、各国の推計値を図1および表1に示す。対象国の選定は、(a) 査読付きジャーナルまたは政府公式報告書で医療セクターのI-O乗数が公表されている国、(b) EU加盟国についてはGutierrez-Hernandez &amp; Abasolo-Alesson（2021）</w:t>
      </w:r>
      <w:r>
        <w:rPr>
          <w:sz w:val="16"/>
          <w:vertAlign w:val="superscript"/>
        </w:rPr>
        <w:t>4</w:t>
      </w:r>
      <w:r>
        <w:t>のEU-28産業連関フレームワーク分析で後方連関係数が報告されている国、の基準に基づく。</w:t>
      </w:r>
    </w:p>
    <w:p>
      <w:pPr>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fig1_io_multipliers.png"/>
                    <pic:cNvPicPr/>
                  </pic:nvPicPr>
                  <pic:blipFill>
                    <a:blip r:embed="rId9"/>
                    <a:stretch>
                      <a:fillRect/>
                    </a:stretch>
                  </pic:blipFill>
                  <pic:spPr>
                    <a:xfrm>
                      <a:off x="0" y="0"/>
                      <a:ext cx="5029200" cy="3352800"/>
                    </a:xfrm>
                    <a:prstGeom prst="rect"/>
                  </pic:spPr>
                </pic:pic>
              </a:graphicData>
            </a:graphic>
          </wp:inline>
        </w:drawing>
      </w:r>
    </w:p>
    <w:p>
      <w:pPr>
        <w:spacing w:before="120" w:after="240"/>
        <w:jc w:val="center"/>
      </w:pPr>
      <w:r>
        <w:rPr>
          <w:i/>
          <w:sz w:val="18"/>
        </w:rPr>
        <w:t>図1. 各国の医療セクターI-O乗数の比較</w:t>
      </w:r>
    </w:p>
    <w:p>
      <w:pPr>
        <w:spacing w:after="80"/>
      </w:pPr>
      <w:r>
        <w:rPr>
          <w:i/>
          <w:sz w:val="18"/>
        </w:rPr>
        <w:t>表1. 医療セクターの産業連関乗数（各国比較）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国</w:t>
            </w:r>
          </w:p>
        </w:tc>
        <w:tc>
          <w:tcPr>
            <w:tcW w:type="dxa" w:w="2160"/>
          </w:tcPr>
          <w:p>
            <w:r>
              <w:rPr>
                <w:b/>
                <w:sz w:val="18"/>
              </w:rPr>
              <w:t>乗数</w:t>
            </w:r>
          </w:p>
        </w:tc>
        <w:tc>
          <w:tcPr>
            <w:tcW w:type="dxa" w:w="2160"/>
          </w:tcPr>
          <w:p>
            <w:r>
              <w:rPr>
                <w:b/>
                <w:sz w:val="18"/>
              </w:rPr>
              <w:t>基準年</w:t>
            </w:r>
          </w:p>
        </w:tc>
        <w:tc>
          <w:tcPr>
            <w:tcW w:type="dxa" w:w="2160"/>
          </w:tcPr>
          <w:p>
            <w:r>
              <w:rPr>
                <w:b/>
                <w:sz w:val="18"/>
              </w:rPr>
              <w:t>出典</w:t>
            </w:r>
          </w:p>
        </w:tc>
      </w:tr>
      <w:tr>
        <w:tc>
          <w:tcPr>
            <w:tcW w:type="dxa" w:w="2160"/>
          </w:tcPr>
          <w:p>
            <w:r>
              <w:rPr>
                <w:sz w:val="18"/>
              </w:rPr>
              <w:t>Japan</w:t>
            </w:r>
          </w:p>
        </w:tc>
        <w:tc>
          <w:tcPr>
            <w:tcW w:type="dxa" w:w="2160"/>
          </w:tcPr>
          <w:p>
            <w:r>
              <w:rPr>
                <w:sz w:val="18"/>
              </w:rPr>
              <w:t>2.78</w:t>
            </w:r>
          </w:p>
        </w:tc>
        <w:tc>
          <w:tcPr>
            <w:tcW w:type="dxa" w:w="2160"/>
          </w:tcPr>
          <w:p>
            <w:r>
              <w:rPr>
                <w:sz w:val="18"/>
              </w:rPr>
              <w:t>2011</w:t>
            </w:r>
          </w:p>
        </w:tc>
        <w:tc>
          <w:tcPr>
            <w:tcW w:type="dxa" w:w="2160"/>
          </w:tcPr>
          <w:p>
            <w:r>
              <w:rPr>
                <w:sz w:val="18"/>
              </w:rPr>
              <w:t>Yamada &amp; Imanaka 2015</w:t>
            </w:r>
          </w:p>
        </w:tc>
      </w:tr>
      <w:tr>
        <w:tc>
          <w:tcPr>
            <w:tcW w:type="dxa" w:w="2160"/>
          </w:tcPr>
          <w:p>
            <w:r>
              <w:rPr>
                <w:sz w:val="18"/>
              </w:rPr>
              <w:t>Japan (JMARI)</w:t>
            </w:r>
          </w:p>
        </w:tc>
        <w:tc>
          <w:tcPr>
            <w:tcW w:type="dxa" w:w="2160"/>
          </w:tcPr>
          <w:p>
            <w:r>
              <w:rPr>
                <w:sz w:val="18"/>
              </w:rPr>
              <w:t>2.85</w:t>
            </w:r>
          </w:p>
        </w:tc>
        <w:tc>
          <w:tcPr>
            <w:tcW w:type="dxa" w:w="2160"/>
          </w:tcPr>
          <w:p>
            <w:r>
              <w:rPr>
                <w:sz w:val="18"/>
              </w:rPr>
              <w:t>2006</w:t>
            </w:r>
          </w:p>
        </w:tc>
        <w:tc>
          <w:tcPr>
            <w:tcW w:type="dxa" w:w="2160"/>
          </w:tcPr>
          <w:p>
            <w:r>
              <w:rPr>
                <w:sz w:val="18"/>
              </w:rPr>
              <w:t>Maeda 2008 (JMARI WP172)</w:t>
            </w:r>
          </w:p>
        </w:tc>
      </w:tr>
      <w:tr>
        <w:tc>
          <w:tcPr>
            <w:tcW w:type="dxa" w:w="2160"/>
          </w:tcPr>
          <w:p>
            <w:r>
              <w:rPr>
                <w:sz w:val="18"/>
              </w:rPr>
              <w:t>France</w:t>
            </w:r>
          </w:p>
        </w:tc>
        <w:tc>
          <w:tcPr>
            <w:tcW w:type="dxa" w:w="2160"/>
          </w:tcPr>
          <w:p>
            <w:r>
              <w:rPr>
                <w:sz w:val="18"/>
              </w:rPr>
              <w:t>2.2</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Germany</w:t>
            </w:r>
          </w:p>
        </w:tc>
        <w:tc>
          <w:tcPr>
            <w:tcW w:type="dxa" w:w="2160"/>
          </w:tcPr>
          <w:p>
            <w:r>
              <w:rPr>
                <w:sz w:val="18"/>
              </w:rPr>
              <w:t>2.1</w:t>
            </w:r>
          </w:p>
        </w:tc>
        <w:tc>
          <w:tcPr>
            <w:tcW w:type="dxa" w:w="2160"/>
          </w:tcPr>
          <w:p>
            <w:r>
              <w:rPr>
                <w:sz w:val="18"/>
              </w:rPr>
              <w:t>2014</w:t>
            </w:r>
          </w:p>
        </w:tc>
        <w:tc>
          <w:tcPr>
            <w:tcW w:type="dxa" w:w="2160"/>
          </w:tcPr>
          <w:p>
            <w:r>
              <w:rPr>
                <w:sz w:val="18"/>
              </w:rPr>
              <w:t>Henke &amp; Ostwald 2012 (GGR estimate)</w:t>
            </w:r>
          </w:p>
        </w:tc>
      </w:tr>
      <w:tr>
        <w:tc>
          <w:tcPr>
            <w:tcW w:type="dxa" w:w="2160"/>
          </w:tcPr>
          <w:p>
            <w:r>
              <w:rPr>
                <w:sz w:val="18"/>
              </w:rPr>
              <w:t>Sweden</w:t>
            </w:r>
          </w:p>
        </w:tc>
        <w:tc>
          <w:tcPr>
            <w:tcW w:type="dxa" w:w="2160"/>
          </w:tcPr>
          <w:p>
            <w:r>
              <w:rPr>
                <w:sz w:val="18"/>
              </w:rPr>
              <w:t>2.05</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Netherlands</w:t>
            </w:r>
          </w:p>
        </w:tc>
        <w:tc>
          <w:tcPr>
            <w:tcW w:type="dxa" w:w="2160"/>
          </w:tcPr>
          <w:p>
            <w:r>
              <w:rPr>
                <w:sz w:val="18"/>
              </w:rPr>
              <w:t>2.0</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Italy</w:t>
            </w:r>
          </w:p>
        </w:tc>
        <w:tc>
          <w:tcPr>
            <w:tcW w:type="dxa" w:w="2160"/>
          </w:tcPr>
          <w:p>
            <w:r>
              <w:rPr>
                <w:sz w:val="18"/>
              </w:rPr>
              <w:t>1.95</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Korea</w:t>
            </w:r>
          </w:p>
        </w:tc>
        <w:tc>
          <w:tcPr>
            <w:tcW w:type="dxa" w:w="2160"/>
          </w:tcPr>
          <w:p>
            <w:r>
              <w:rPr>
                <w:sz w:val="18"/>
              </w:rPr>
              <w:t>1.95</w:t>
            </w:r>
          </w:p>
        </w:tc>
        <w:tc>
          <w:tcPr>
            <w:tcW w:type="dxa" w:w="2160"/>
          </w:tcPr>
          <w:p>
            <w:r>
              <w:rPr>
                <w:sz w:val="18"/>
              </w:rPr>
              <w:t>2015</w:t>
            </w:r>
          </w:p>
        </w:tc>
        <w:tc>
          <w:tcPr>
            <w:tcW w:type="dxa" w:w="2160"/>
          </w:tcPr>
          <w:p>
            <w:r>
              <w:rPr>
                <w:sz w:val="18"/>
              </w:rPr>
              <w:t>Bank of Korea I-O Tables 2019</w:t>
            </w:r>
          </w:p>
        </w:tc>
      </w:tr>
      <w:tr>
        <w:tc>
          <w:tcPr>
            <w:tcW w:type="dxa" w:w="2160"/>
          </w:tcPr>
          <w:p>
            <w:r>
              <w:rPr>
                <w:sz w:val="18"/>
              </w:rPr>
              <w:t>United Kingdom</w:t>
            </w:r>
          </w:p>
        </w:tc>
        <w:tc>
          <w:tcPr>
            <w:tcW w:type="dxa" w:w="2160"/>
          </w:tcPr>
          <w:p>
            <w:r>
              <w:rPr>
                <w:sz w:val="18"/>
              </w:rPr>
              <w:t>1.9</w:t>
            </w:r>
          </w:p>
        </w:tc>
        <w:tc>
          <w:tcPr>
            <w:tcW w:type="dxa" w:w="2160"/>
          </w:tcPr>
          <w:p>
            <w:r>
              <w:rPr>
                <w:sz w:val="18"/>
              </w:rPr>
              <w:t>2016</w:t>
            </w:r>
          </w:p>
        </w:tc>
        <w:tc>
          <w:tcPr>
            <w:tcW w:type="dxa" w:w="2160"/>
          </w:tcPr>
          <w:p>
            <w:r>
              <w:rPr>
                <w:sz w:val="18"/>
              </w:rPr>
              <w:t>ONS Health SUT / King's Fund 2018</w:t>
            </w:r>
          </w:p>
        </w:tc>
      </w:tr>
      <w:tr>
        <w:tc>
          <w:tcPr>
            <w:tcW w:type="dxa" w:w="2160"/>
          </w:tcPr>
          <w:p>
            <w:r>
              <w:rPr>
                <w:sz w:val="18"/>
              </w:rPr>
              <w:t>Finland</w:t>
            </w:r>
          </w:p>
        </w:tc>
        <w:tc>
          <w:tcPr>
            <w:tcW w:type="dxa" w:w="2160"/>
          </w:tcPr>
          <w:p>
            <w:r>
              <w:rPr>
                <w:sz w:val="18"/>
              </w:rPr>
              <w:t>1.88</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Spain</w:t>
            </w:r>
          </w:p>
        </w:tc>
        <w:tc>
          <w:tcPr>
            <w:tcW w:type="dxa" w:w="2160"/>
          </w:tcPr>
          <w:p>
            <w:r>
              <w:rPr>
                <w:sz w:val="18"/>
              </w:rPr>
              <w:t>1.85</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Australia</w:t>
            </w:r>
          </w:p>
        </w:tc>
        <w:tc>
          <w:tcPr>
            <w:tcW w:type="dxa" w:w="2160"/>
          </w:tcPr>
          <w:p>
            <w:r>
              <w:rPr>
                <w:sz w:val="18"/>
              </w:rPr>
              <w:t>1.85</w:t>
            </w:r>
          </w:p>
        </w:tc>
        <w:tc>
          <w:tcPr>
            <w:tcW w:type="dxa" w:w="2160"/>
          </w:tcPr>
          <w:p>
            <w:r>
              <w:rPr>
                <w:sz w:val="18"/>
              </w:rPr>
              <w:t>2015</w:t>
            </w:r>
          </w:p>
        </w:tc>
        <w:tc>
          <w:tcPr>
            <w:tcW w:type="dxa" w:w="2160"/>
          </w:tcPr>
          <w:p>
            <w:r>
              <w:rPr>
                <w:sz w:val="18"/>
              </w:rPr>
              <w:t>AIHW / Deloitte Access Economics 2016</w:t>
            </w:r>
          </w:p>
        </w:tc>
      </w:tr>
      <w:tr>
        <w:tc>
          <w:tcPr>
            <w:tcW w:type="dxa" w:w="2160"/>
          </w:tcPr>
          <w:p>
            <w:r>
              <w:rPr>
                <w:sz w:val="18"/>
              </w:rPr>
              <w:t>Canada</w:t>
            </w:r>
          </w:p>
        </w:tc>
        <w:tc>
          <w:tcPr>
            <w:tcW w:type="dxa" w:w="2160"/>
          </w:tcPr>
          <w:p>
            <w:r>
              <w:rPr>
                <w:sz w:val="18"/>
              </w:rPr>
              <w:t>1.82</w:t>
            </w:r>
          </w:p>
        </w:tc>
        <w:tc>
          <w:tcPr>
            <w:tcW w:type="dxa" w:w="2160"/>
          </w:tcPr>
          <w:p>
            <w:r>
              <w:rPr>
                <w:sz w:val="18"/>
              </w:rPr>
              <w:t>2009</w:t>
            </w:r>
          </w:p>
        </w:tc>
        <w:tc>
          <w:tcPr>
            <w:tcW w:type="dxa" w:w="2160"/>
          </w:tcPr>
          <w:p>
            <w:r>
              <w:rPr>
                <w:sz w:val="18"/>
              </w:rPr>
              <w:t>CIHI / Conference Board 2013</w:t>
            </w:r>
          </w:p>
        </w:tc>
      </w:tr>
      <w:tr>
        <w:tc>
          <w:tcPr>
            <w:tcW w:type="dxa" w:w="2160"/>
          </w:tcPr>
          <w:p>
            <w:r>
              <w:rPr>
                <w:sz w:val="18"/>
              </w:rPr>
              <w:t>United States (Medicare)</w:t>
            </w:r>
          </w:p>
        </w:tc>
        <w:tc>
          <w:tcPr>
            <w:tcW w:type="dxa" w:w="2160"/>
          </w:tcPr>
          <w:p>
            <w:r>
              <w:rPr>
                <w:sz w:val="18"/>
              </w:rPr>
              <w:t>1.7</w:t>
            </w:r>
          </w:p>
        </w:tc>
        <w:tc>
          <w:tcPr>
            <w:tcW w:type="dxa" w:w="2160"/>
          </w:tcPr>
          <w:p>
            <w:r>
              <w:rPr>
                <w:sz w:val="18"/>
              </w:rPr>
              <w:t>2017</w:t>
            </w:r>
          </w:p>
        </w:tc>
        <w:tc>
          <w:tcPr>
            <w:tcW w:type="dxa" w:w="2160"/>
          </w:tcPr>
          <w:p>
            <w:r>
              <w:rPr>
                <w:sz w:val="18"/>
              </w:rPr>
              <w:t>Dupor &amp; Guerrero 2017 (Fed StL)</w:t>
            </w:r>
          </w:p>
        </w:tc>
      </w:tr>
      <w:tr>
        <w:tc>
          <w:tcPr>
            <w:tcW w:type="dxa" w:w="2160"/>
          </w:tcPr>
          <w:p>
            <w:r>
              <w:rPr>
                <w:sz w:val="18"/>
              </w:rPr>
              <w:t>OECD Average</w:t>
            </w:r>
          </w:p>
        </w:tc>
        <w:tc>
          <w:tcPr>
            <w:tcW w:type="dxa" w:w="2160"/>
          </w:tcPr>
          <w:p>
            <w:r>
              <w:rPr>
                <w:sz w:val="18"/>
              </w:rPr>
              <w:t>1.95</w:t>
            </w:r>
          </w:p>
        </w:tc>
        <w:tc>
          <w:tcPr>
            <w:tcW w:type="dxa" w:w="2160"/>
          </w:tcPr>
          <w:p>
            <w:r>
              <w:rPr>
                <w:sz w:val="18"/>
              </w:rPr>
              <w:t>2020</w:t>
            </w:r>
          </w:p>
        </w:tc>
        <w:tc>
          <w:tcPr>
            <w:tcW w:type="dxa" w:w="2160"/>
          </w:tcPr>
          <w:p>
            <w:r>
              <w:rPr>
                <w:sz w:val="18"/>
              </w:rPr>
              <w:t>Synthesis (this study)</w:t>
            </w:r>
          </w:p>
        </w:tc>
      </w:tr>
    </w:tbl>
    <w:p/>
    <w:p>
      <w:r>
        <w:t>日本の乗数2.78は比較対象国中最大であり、公共事業（2.1〜2.5）や電力・ガス（1.8〜2.0）と同等以上である</w:t>
      </w:r>
      <w:r>
        <w:rPr>
          <w:sz w:val="16"/>
          <w:vertAlign w:val="superscript"/>
        </w:rPr>
        <w:t>1,14</w:t>
      </w:r>
      <w:r>
        <w:t>。米国のMedicare乗数1.7</w:t>
      </w:r>
      <w:r>
        <w:rPr>
          <w:sz w:val="16"/>
          <w:vertAlign w:val="superscript"/>
        </w:rPr>
        <w:t>2</w:t>
      </w:r>
      <w:r>
        <w:t>が低いのは、高い薬価と管理コストが域外（海外製薬）に漏出するためと考えられる。</w:t>
      </w:r>
    </w:p>
    <w:p>
      <w:pPr>
        <w:pStyle w:val="Heading2"/>
      </w:pPr>
      <w:r>
        <w:t>2.2 供給側：健康資本と人的資本</w:t>
      </w:r>
    </w:p>
    <w:p>
      <w:r>
        <w:t>Mushkin（1962）以来、健康は人的資本の構成要素として認識されてきた</w:t>
      </w:r>
      <w:r>
        <w:rPr>
          <w:sz w:val="16"/>
          <w:vertAlign w:val="superscript"/>
        </w:rPr>
        <w:t>15</w:t>
      </w:r>
      <w:r>
        <w:t>。Grossman（1972）のヘルスキャピタルモデルでは、個人の健康ストックは投資（医療支出・予防行動）と減耗（加齢・疾病）の恒久棚卸法（PIM）で蓄積される</w:t>
      </w:r>
      <w:r>
        <w:rPr>
          <w:sz w:val="16"/>
          <w:vertAlign w:val="superscript"/>
        </w:rPr>
        <w:t>16</w:t>
      </w:r>
      <w:r>
        <w:t>。マクロレベルでは、Bloom, Canning &amp; Sevilla（2004）が 健康状態の改善がTFP（全要素生産性）を高めることを示し</w:t>
      </w:r>
      <w:r>
        <w:rPr>
          <w:sz w:val="16"/>
          <w:vertAlign w:val="superscript"/>
        </w:rPr>
        <w:t>17</w:t>
      </w:r>
      <w:r>
        <w:t>、Barro（2013）は平均寿命1年の延長がGDP成長率を約0.04 pp引き上げると推計した</w:t>
      </w:r>
      <w:r>
        <w:rPr>
          <w:sz w:val="16"/>
          <w:vertAlign w:val="superscript"/>
        </w:rPr>
        <w:t>18</w:t>
      </w:r>
      <w:r>
        <w:t>。</w:t>
      </w:r>
    </w:p>
    <w:p>
      <w:pPr>
        <w:pStyle w:val="Heading2"/>
      </w:pPr>
      <w:r>
        <w:t>2.3 テンポ効果の三層構造：人口→GDP→医療</w:t>
      </w:r>
    </w:p>
    <w:p>
      <w:r>
        <w:t>Bongaarts &amp; Feeney（1998）は人口学において、平均出産年齢（MAC）の上昇が期間合計出生率（TFR）を機械的に押し下げる「テンポ効果」を提唱した</w:t>
      </w:r>
      <w:r>
        <w:rPr>
          <w:sz w:val="16"/>
          <w:vertAlign w:val="superscript"/>
        </w:rPr>
        <w:t>9</w:t>
      </w:r>
      <w:r>
        <w:t>。Goldstein, Lutz &amp; Scherbov（2003）はパリティ別分散σ（「忘れられたパラメータ」）を導入し、テンポ補正済み出生率とコーホートデータの整合性を大幅に改善した</w:t>
      </w:r>
      <w:r>
        <w:rPr>
          <w:sz w:val="16"/>
          <w:vertAlign w:val="superscript"/>
        </w:rPr>
        <w:t>19</w:t>
      </w:r>
      <w:r>
        <w:t>。</w:t>
      </w:r>
    </w:p>
    <w:p>
      <w:r>
        <w:t>Onishi（2026b）はこの量子・テンポ分解を資本会計に移植し、投資→産出の time-to-build ラグμ(t) と無形資本比率β（忘れられたパラメータ）を導入することで、PWT（フロー）とCWON（ストック）の乖離を説明した</w:t>
      </w:r>
      <w:r>
        <w:rPr>
          <w:sz w:val="16"/>
          <w:vertAlign w:val="superscript"/>
        </w:rPr>
        <w:t>10</w:t>
      </w:r>
      <w:r>
        <w:t>。39か国のGDP分析では、テンポドリフトμ₁ = +0.04年/年が検出され、OOS MAPEが4.60%→3.99%へ13%改善した</w:t>
      </w:r>
      <w:r>
        <w:rPr>
          <w:sz w:val="16"/>
          <w:vertAlign w:val="superscript"/>
        </w:rPr>
        <w:t>10</w:t>
      </w:r>
      <w:r>
        <w:t>。</w:t>
      </w:r>
    </w:p>
    <w:p>
      <w:r>
        <w:t>本稿のhealthcare_tempo_pocでは、複数の候補モデル仕様（Candidate）を設定しており、Candidate A-Hは「医療支出→健康アウトカムの時間ラグ構造」をモデル化した候補仕様である</w:t>
      </w:r>
      <w:r>
        <w:rPr>
          <w:sz w:val="16"/>
          <w:vertAlign w:val="superscript"/>
        </w:rPr>
        <w:t>11</w:t>
      </w:r>
      <w:r>
        <w:t>。同じ枠組みを医療支出に適用し、支出→アウトカム（平均寿命）ラグμ_H(t)を定式化し、39か国で推定した結果を表2に示す。</w:t>
      </w:r>
    </w:p>
    <w:p>
      <w:pPr>
        <w:spacing w:after="80"/>
      </w:pPr>
      <w:r>
        <w:rPr>
          <w:i/>
          <w:sz w:val="18"/>
        </w:rPr>
        <w:t>表2. healthcare_tempo_poc Candidate A-H 結果（39か国、2000-2019年）</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モデル</w:t>
            </w:r>
          </w:p>
        </w:tc>
        <w:tc>
          <w:tcPr>
            <w:tcW w:type="dxa" w:w="2160"/>
          </w:tcPr>
          <w:p>
            <w:r>
              <w:rPr>
                <w:b/>
                <w:sz w:val="18"/>
              </w:rPr>
              <w:t>水準RMSE中央値（年）</w:t>
            </w:r>
          </w:p>
        </w:tc>
        <w:tc>
          <w:tcPr>
            <w:tcW w:type="dxa" w:w="2160"/>
          </w:tcPr>
          <w:p>
            <w:r>
              <w:rPr>
                <w:b/>
                <w:sz w:val="18"/>
              </w:rPr>
              <w:t>変化率RMSE中央値</w:t>
            </w:r>
          </w:p>
        </w:tc>
        <w:tc>
          <w:tcPr>
            <w:tcW w:type="dxa" w:w="2160"/>
          </w:tcPr>
          <w:p>
            <w:r>
              <w:rPr>
                <w:b/>
                <w:sz w:val="18"/>
              </w:rPr>
              <w:t>概要</w:t>
            </w:r>
          </w:p>
        </w:tc>
      </w:tr>
      <w:tr>
        <w:tc>
          <w:tcPr>
            <w:tcW w:type="dxa" w:w="2160"/>
          </w:tcPr>
          <w:p>
            <w:r>
              <w:rPr>
                <w:sz w:val="18"/>
              </w:rPr>
              <w:t>M0（フローのみ）</w:t>
            </w:r>
          </w:p>
        </w:tc>
        <w:tc>
          <w:tcPr>
            <w:tcW w:type="dxa" w:w="2160"/>
          </w:tcPr>
          <w:p>
            <w:r>
              <w:rPr>
                <w:sz w:val="18"/>
              </w:rPr>
              <w:t>0.510</w:t>
            </w:r>
          </w:p>
        </w:tc>
        <w:tc>
          <w:tcPr>
            <w:tcW w:type="dxa" w:w="2160"/>
          </w:tcPr>
          <w:p>
            <w:r>
              <w:rPr>
                <w:sz w:val="18"/>
              </w:rPr>
              <w:t>0.455</w:t>
            </w:r>
          </w:p>
        </w:tc>
        <w:tc>
          <w:tcPr>
            <w:tcW w:type="dxa" w:w="2160"/>
          </w:tcPr>
          <w:p>
            <w:r>
              <w:rPr>
                <w:sz w:val="18"/>
              </w:rPr>
              <w:t>支出→アウトカム即時</w:t>
            </w:r>
          </w:p>
        </w:tc>
      </w:tr>
      <w:tr>
        <w:tc>
          <w:tcPr>
            <w:tcW w:type="dxa" w:w="2160"/>
          </w:tcPr>
          <w:p>
            <w:r>
              <w:rPr>
                <w:sz w:val="18"/>
              </w:rPr>
              <w:t>M1（定数ラグ）</w:t>
            </w:r>
          </w:p>
        </w:tc>
        <w:tc>
          <w:tcPr>
            <w:tcW w:type="dxa" w:w="2160"/>
          </w:tcPr>
          <w:p>
            <w:r>
              <w:rPr>
                <w:sz w:val="18"/>
              </w:rPr>
              <w:t>0.441</w:t>
            </w:r>
          </w:p>
        </w:tc>
        <w:tc>
          <w:tcPr>
            <w:tcW w:type="dxa" w:w="2160"/>
          </w:tcPr>
          <w:p>
            <w:r>
              <w:rPr>
                <w:sz w:val="18"/>
              </w:rPr>
              <w:t>0.403</w:t>
            </w:r>
          </w:p>
        </w:tc>
        <w:tc>
          <w:tcPr>
            <w:tcW w:type="dxa" w:w="2160"/>
          </w:tcPr>
          <w:p>
            <w:r>
              <w:rPr>
                <w:sz w:val="18"/>
              </w:rPr>
              <w:t>μ*≈4年の固定ラグ</w:t>
            </w:r>
          </w:p>
        </w:tc>
      </w:tr>
      <w:tr>
        <w:tc>
          <w:tcPr>
            <w:tcW w:type="dxa" w:w="2160"/>
          </w:tcPr>
          <w:p>
            <w:r>
              <w:rPr>
                <w:sz w:val="18"/>
              </w:rPr>
              <w:t>M2（テンポラグ）</w:t>
            </w:r>
          </w:p>
        </w:tc>
        <w:tc>
          <w:tcPr>
            <w:tcW w:type="dxa" w:w="2160"/>
          </w:tcPr>
          <w:p>
            <w:r>
              <w:rPr>
                <w:sz w:val="18"/>
              </w:rPr>
              <w:t>0.434</w:t>
            </w:r>
          </w:p>
        </w:tc>
        <w:tc>
          <w:tcPr>
            <w:tcW w:type="dxa" w:w="2160"/>
          </w:tcPr>
          <w:p>
            <w:r>
              <w:rPr>
                <w:sz w:val="18"/>
              </w:rPr>
              <w:t>0.405</w:t>
            </w:r>
          </w:p>
        </w:tc>
        <w:tc>
          <w:tcPr>
            <w:tcW w:type="dxa" w:w="2160"/>
          </w:tcPr>
          <w:p>
            <w:r>
              <w:rPr>
                <w:sz w:val="18"/>
              </w:rPr>
              <w:t>μ_H1=+0.15年/年ドリフト</w:t>
            </w:r>
          </w:p>
        </w:tc>
      </w:tr>
    </w:tbl>
    <w:p/>
    <w:p>
      <w:r>
        <w:t>M2（テンポ）はM1（定数ラグ）を95%の国で上回り</w:t>
      </w:r>
      <w:r>
        <w:rPr>
          <w:sz w:val="16"/>
          <w:vertAlign w:val="superscript"/>
        </w:rPr>
        <w:t>11</w:t>
      </w:r>
      <w:r>
        <w:t>、「支出がアウトカムに反映されるまでのラグが一定ではなく時代とともに長くなっている」ことを裏付ける。μ_H1 = +0.15年/年は、10年で1.5年のラグ延長を意味し、GDPのμ₁ = +0.04年/年</w:t>
      </w:r>
      <w:r>
        <w:rPr>
          <w:sz w:val="16"/>
          <w:vertAlign w:val="superscript"/>
        </w:rPr>
        <w:t>10</w:t>
      </w:r>
      <w:r>
        <w:t>の約4倍である。この差は、医療が急性期から慢性疾患管理・予防・R&amp;Dへとシフトするにつれ、投資→成果のパイプラインが長期化していることと整合的である。</w:t>
      </w:r>
    </w:p>
    <w:p>
      <w:pPr>
        <w:jc w:val="center"/>
      </w:pPr>
      <w:r>
        <w:drawing>
          <wp:inline xmlns:a="http://schemas.openxmlformats.org/drawingml/2006/main" xmlns:pic="http://schemas.openxmlformats.org/drawingml/2006/picture">
            <wp:extent cx="5029200" cy="2236329"/>
            <wp:docPr id="2" name="Picture 2"/>
            <wp:cNvGraphicFramePr>
              <a:graphicFrameLocks noChangeAspect="1"/>
            </wp:cNvGraphicFramePr>
            <a:graphic>
              <a:graphicData uri="http://schemas.openxmlformats.org/drawingml/2006/picture">
                <pic:pic>
                  <pic:nvPicPr>
                    <pic:cNvPr id="0" name="fig5_three_layer_analogy_ja.png"/>
                    <pic:cNvPicPr/>
                  </pic:nvPicPr>
                  <pic:blipFill>
                    <a:blip r:embed="rId10"/>
                    <a:stretch>
                      <a:fillRect/>
                    </a:stretch>
                  </pic:blipFill>
                  <pic:spPr>
                    <a:xfrm>
                      <a:off x="0" y="0"/>
                      <a:ext cx="5029200" cy="2236329"/>
                    </a:xfrm>
                    <a:prstGeom prst="rect"/>
                  </pic:spPr>
                </pic:pic>
              </a:graphicData>
            </a:graphic>
          </wp:inline>
        </w:drawing>
      </w:r>
    </w:p>
    <w:p>
      <w:pPr>
        <w:spacing w:before="120" w:after="240"/>
        <w:jc w:val="center"/>
      </w:pPr>
      <w:r>
        <w:rPr>
          <w:i/>
          <w:sz w:val="18"/>
        </w:rPr>
        <w:t>図2. テンポ効果の三層構造 — 人口→GDP→医療への移植</w:t>
      </w:r>
    </w:p>
    <w:p>
      <w:pPr>
        <w:pStyle w:val="Heading2"/>
      </w:pPr>
      <w:r>
        <w:t>2.4 HLGHの実証的エビデンス</w:t>
      </w:r>
    </w:p>
    <w:p>
      <w:r>
        <w:t>Health-Led Growth Hypothesis (HLGH) は、医療支出が経済成長を促進するという仮説である。表3に、OECD諸国および途上国を対象とした主要なパネルデータ研究の結果を要約する。</w:t>
      </w:r>
    </w:p>
    <w:p>
      <w:pPr>
        <w:spacing w:after="80"/>
      </w:pPr>
      <w:r>
        <w:rPr>
          <w:i/>
          <w:sz w:val="18"/>
        </w:rPr>
        <w:t>表3. Health-Led Growth Hypothesisの実証研究要約</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研究</w:t>
            </w:r>
          </w:p>
        </w:tc>
        <w:tc>
          <w:tcPr>
            <w:tcW w:type="dxa" w:w="1728"/>
          </w:tcPr>
          <w:p>
            <w:r>
              <w:rPr>
                <w:b/>
                <w:sz w:val="18"/>
              </w:rPr>
              <w:t>対象国数</w:t>
            </w:r>
          </w:p>
        </w:tc>
        <w:tc>
          <w:tcPr>
            <w:tcW w:type="dxa" w:w="1728"/>
          </w:tcPr>
          <w:p>
            <w:r>
              <w:rPr>
                <w:b/>
                <w:sz w:val="18"/>
              </w:rPr>
              <w:t>期間</w:t>
            </w:r>
          </w:p>
        </w:tc>
        <w:tc>
          <w:tcPr>
            <w:tcW w:type="dxa" w:w="1728"/>
          </w:tcPr>
          <w:p>
            <w:r>
              <w:rPr>
                <w:b/>
                <w:sz w:val="18"/>
              </w:rPr>
              <w:t>手法</w:t>
            </w:r>
          </w:p>
        </w:tc>
        <w:tc>
          <w:tcPr>
            <w:tcW w:type="dxa" w:w="1728"/>
          </w:tcPr>
          <w:p>
            <w:r>
              <w:rPr>
                <w:b/>
                <w:sz w:val="18"/>
              </w:rPr>
              <w:t>因果の方向</w:t>
            </w:r>
          </w:p>
        </w:tc>
      </w:tr>
      <w:tr>
        <w:tc>
          <w:tcPr>
            <w:tcW w:type="dxa" w:w="1728"/>
          </w:tcPr>
          <w:p>
            <w:r>
              <w:rPr>
                <w:sz w:val="18"/>
              </w:rPr>
              <w:t>Ertugrul et al. 2024</w:t>
            </w:r>
          </w:p>
        </w:tc>
        <w:tc>
          <w:tcPr>
            <w:tcW w:type="dxa" w:w="1728"/>
          </w:tcPr>
          <w:p>
            <w:r>
              <w:rPr>
                <w:sz w:val="18"/>
              </w:rPr>
              <w:t>38</w:t>
            </w:r>
          </w:p>
        </w:tc>
        <w:tc>
          <w:tcPr>
            <w:tcW w:type="dxa" w:w="1728"/>
          </w:tcPr>
          <w:p>
            <w:r>
              <w:rPr>
                <w:sz w:val="18"/>
              </w:rPr>
              <w:t>2000-2019</w:t>
            </w:r>
          </w:p>
        </w:tc>
        <w:tc>
          <w:tcPr>
            <w:tcW w:type="dxa" w:w="1728"/>
          </w:tcPr>
          <w:p>
            <w:r>
              <w:rPr>
                <w:sz w:val="18"/>
              </w:rPr>
              <w:t>CS-ARDL / AMG</w:t>
            </w:r>
          </w:p>
        </w:tc>
        <w:tc>
          <w:tcPr>
            <w:tcW w:type="dxa" w:w="1728"/>
          </w:tcPr>
          <w:p>
            <w:r>
              <w:rPr>
                <w:sz w:val="18"/>
              </w:rPr>
              <w:t>Bidirectional</w:t>
            </w:r>
          </w:p>
        </w:tc>
      </w:tr>
      <w:tr>
        <w:tc>
          <w:tcPr>
            <w:tcW w:type="dxa" w:w="1728"/>
          </w:tcPr>
          <w:p>
            <w:r>
              <w:rPr>
                <w:sz w:val="18"/>
              </w:rPr>
              <w:t>Beylik et al. 2022</w:t>
            </w:r>
          </w:p>
        </w:tc>
        <w:tc>
          <w:tcPr>
            <w:tcW w:type="dxa" w:w="1728"/>
          </w:tcPr>
          <w:p>
            <w:r>
              <w:rPr>
                <w:sz w:val="18"/>
              </w:rPr>
              <w:t>21</w:t>
            </w:r>
          </w:p>
        </w:tc>
        <w:tc>
          <w:tcPr>
            <w:tcW w:type="dxa" w:w="1728"/>
          </w:tcPr>
          <w:p>
            <w:r>
              <w:rPr>
                <w:sz w:val="18"/>
              </w:rPr>
              <w:t>2000-2018</w:t>
            </w:r>
          </w:p>
        </w:tc>
        <w:tc>
          <w:tcPr>
            <w:tcW w:type="dxa" w:w="1728"/>
          </w:tcPr>
          <w:p>
            <w:r>
              <w:rPr>
                <w:sz w:val="18"/>
              </w:rPr>
              <w:t>Driscoll-Kraay</w:t>
            </w:r>
          </w:p>
        </w:tc>
        <w:tc>
          <w:tcPr>
            <w:tcW w:type="dxa" w:w="1728"/>
          </w:tcPr>
          <w:p>
            <w:r>
              <w:rPr>
                <w:sz w:val="18"/>
              </w:rPr>
              <w:t>Bidirectional</w:t>
            </w:r>
          </w:p>
        </w:tc>
      </w:tr>
      <w:tr>
        <w:tc>
          <w:tcPr>
            <w:tcW w:type="dxa" w:w="1728"/>
          </w:tcPr>
          <w:p>
            <w:r>
              <w:rPr>
                <w:sz w:val="18"/>
              </w:rPr>
              <w:t>Amiri &amp; Ventelou 2012</w:t>
            </w:r>
          </w:p>
        </w:tc>
        <w:tc>
          <w:tcPr>
            <w:tcW w:type="dxa" w:w="1728"/>
          </w:tcPr>
          <w:p>
            <w:r>
              <w:rPr>
                <w:sz w:val="18"/>
              </w:rPr>
              <w:t>20</w:t>
            </w:r>
          </w:p>
        </w:tc>
        <w:tc>
          <w:tcPr>
            <w:tcW w:type="dxa" w:w="1728"/>
          </w:tcPr>
          <w:p>
            <w:r>
              <w:rPr>
                <w:sz w:val="18"/>
              </w:rPr>
              <w:t>1995-2008</w:t>
            </w:r>
          </w:p>
        </w:tc>
        <w:tc>
          <w:tcPr>
            <w:tcW w:type="dxa" w:w="1728"/>
          </w:tcPr>
          <w:p>
            <w:r>
              <w:rPr>
                <w:sz w:val="18"/>
              </w:rPr>
              <w:t>Toda-Yamamoto</w:t>
            </w:r>
          </w:p>
        </w:tc>
        <w:tc>
          <w:tcPr>
            <w:tcW w:type="dxa" w:w="1728"/>
          </w:tcPr>
          <w:p>
            <w:r>
              <w:rPr>
                <w:sz w:val="18"/>
              </w:rPr>
              <w:t>Bidirectional (Granger)</w:t>
            </w:r>
          </w:p>
        </w:tc>
      </w:tr>
      <w:tr>
        <w:tc>
          <w:tcPr>
            <w:tcW w:type="dxa" w:w="1728"/>
          </w:tcPr>
          <w:p>
            <w:r>
              <w:rPr>
                <w:sz w:val="18"/>
              </w:rPr>
              <w:t>Wang 2011</w:t>
            </w:r>
          </w:p>
        </w:tc>
        <w:tc>
          <w:tcPr>
            <w:tcW w:type="dxa" w:w="1728"/>
          </w:tcPr>
          <w:p>
            <w:r>
              <w:rPr>
                <w:sz w:val="18"/>
              </w:rPr>
              <w:t>31</w:t>
            </w:r>
          </w:p>
        </w:tc>
        <w:tc>
          <w:tcPr>
            <w:tcW w:type="dxa" w:w="1728"/>
          </w:tcPr>
          <w:p>
            <w:r>
              <w:rPr>
                <w:sz w:val="18"/>
              </w:rPr>
              <w:t>1986-2007</w:t>
            </w:r>
          </w:p>
        </w:tc>
        <w:tc>
          <w:tcPr>
            <w:tcW w:type="dxa" w:w="1728"/>
          </w:tcPr>
          <w:p>
            <w:r>
              <w:rPr>
                <w:sz w:val="18"/>
              </w:rPr>
              <w:t>Panel VECM</w:t>
            </w:r>
          </w:p>
        </w:tc>
        <w:tc>
          <w:tcPr>
            <w:tcW w:type="dxa" w:w="1728"/>
          </w:tcPr>
          <w:p>
            <w:r>
              <w:rPr>
                <w:sz w:val="18"/>
              </w:rPr>
              <w:t>Bidirectional</w:t>
            </w:r>
          </w:p>
        </w:tc>
      </w:tr>
      <w:tr>
        <w:tc>
          <w:tcPr>
            <w:tcW w:type="dxa" w:w="1728"/>
          </w:tcPr>
          <w:p>
            <w:r>
              <w:rPr>
                <w:sz w:val="18"/>
              </w:rPr>
              <w:t>Piabuo &amp; Tieguhong 2017</w:t>
            </w:r>
          </w:p>
        </w:tc>
        <w:tc>
          <w:tcPr>
            <w:tcW w:type="dxa" w:w="1728"/>
          </w:tcPr>
          <w:p>
            <w:r>
              <w:rPr>
                <w:sz w:val="18"/>
              </w:rPr>
              <w:t>45</w:t>
            </w:r>
          </w:p>
        </w:tc>
        <w:tc>
          <w:tcPr>
            <w:tcW w:type="dxa" w:w="1728"/>
          </w:tcPr>
          <w:p>
            <w:r>
              <w:rPr>
                <w:sz w:val="18"/>
              </w:rPr>
              <w:t>1995-2015</w:t>
            </w:r>
          </w:p>
        </w:tc>
        <w:tc>
          <w:tcPr>
            <w:tcW w:type="dxa" w:w="1728"/>
          </w:tcPr>
          <w:p>
            <w:r>
              <w:rPr>
                <w:sz w:val="18"/>
              </w:rPr>
              <w:t>GMM</w:t>
            </w:r>
          </w:p>
        </w:tc>
        <w:tc>
          <w:tcPr>
            <w:tcW w:type="dxa" w:w="1728"/>
          </w:tcPr>
          <w:p>
            <w:r>
              <w:rPr>
                <w:sz w:val="18"/>
              </w:rPr>
              <w:t>H-&gt;G (developing)</w:t>
            </w:r>
          </w:p>
        </w:tc>
      </w:tr>
    </w:tbl>
    <w:p/>
    <w:p>
      <w:r>
        <w:t>全ての研究が医療支出→GDP成長の正の効果を確認しており、多くで双方向因果（bidirectional causality）が検出されている</w:t>
      </w:r>
      <w:r>
        <w:rPr>
          <w:sz w:val="16"/>
          <w:vertAlign w:val="superscript"/>
        </w:rPr>
        <w:t>5-8,20</w:t>
      </w:r>
      <w:r>
        <w:t>。これは医療費が単なるコストではなく、経済成長のエンジンの一つであることを示唆する。</w:t>
      </w:r>
    </w:p>
    <w:p>
      <w:pPr>
        <w:pStyle w:val="Heading1"/>
      </w:pPr>
      <w:r>
        <w:t>3. ニュートラルな持続可能性フレームワーク</w:t>
      </w:r>
    </w:p>
    <w:p>
      <w:r>
        <w:t>本稿では、医療費の持続可能性を「需要側リターン」と「供給側リターン」の二重構造で評価する枠組みを提案する（図3）。</w:t>
      </w:r>
    </w:p>
    <w:p>
      <w:pPr>
        <w:jc w:val="center"/>
      </w:pPr>
      <w:r>
        <w:drawing>
          <wp:inline xmlns:a="http://schemas.openxmlformats.org/drawingml/2006/main" xmlns:pic="http://schemas.openxmlformats.org/drawingml/2006/picture">
            <wp:extent cx="5029200" cy="2998715"/>
            <wp:docPr id="3" name="Picture 3"/>
            <wp:cNvGraphicFramePr>
              <a:graphicFrameLocks noChangeAspect="1"/>
            </wp:cNvGraphicFramePr>
            <a:graphic>
              <a:graphicData uri="http://schemas.openxmlformats.org/drawingml/2006/picture">
                <pic:pic>
                  <pic:nvPicPr>
                    <pic:cNvPr id="0" name="fig4_dual_return_schematic.png"/>
                    <pic:cNvPicPr/>
                  </pic:nvPicPr>
                  <pic:blipFill>
                    <a:blip r:embed="rId11"/>
                    <a:stretch>
                      <a:fillRect/>
                    </a:stretch>
                  </pic:blipFill>
                  <pic:spPr>
                    <a:xfrm>
                      <a:off x="0" y="0"/>
                      <a:ext cx="5029200" cy="2998715"/>
                    </a:xfrm>
                    <a:prstGeom prst="rect"/>
                  </pic:spPr>
                </pic:pic>
              </a:graphicData>
            </a:graphic>
          </wp:inline>
        </w:drawing>
      </w:r>
    </w:p>
    <w:p>
      <w:pPr>
        <w:spacing w:before="120" w:after="240"/>
        <w:jc w:val="center"/>
      </w:pPr>
      <w:r>
        <w:rPr>
          <w:i/>
          <w:sz w:val="18"/>
        </w:rPr>
        <w:t>図3. 医療支出の二重リターン・フレームワーク概念図</w:t>
      </w:r>
    </w:p>
    <w:p>
      <w:pPr>
        <w:pStyle w:val="Heading2"/>
      </w:pPr>
      <w:r>
        <w:t>3.1 需要側：財政回収率</w:t>
      </w:r>
    </w:p>
    <w:p>
      <w:r>
        <w:t>医療支出E(t)がI-O乗数mを通じて経済全体にm·E(t)の産出を誘発し、その産出に対して実効税率τで税収・社会保険料が還流する。公的医療費の割合をpfとすると、ニュートラルな財政持続可能性基準は次式で定義される：</w:t>
      </w:r>
    </w:p>
    <w:p>
      <w:pPr>
        <w:jc w:val="center"/>
      </w:pPr>
      <w:r>
        <w:rPr>
          <w:b/>
          <w:sz w:val="22"/>
        </w:rPr>
        <w:t>Fiscal Return Ratio = (τ · m) / pf ≥ 1.0</w:t>
      </w:r>
    </w:p>
    <w:p>
      <w:r>
        <w:t>この比率が1.0以上であれば、医療支出が誘発する経済活動からの税・保険料収入が、公的医療費の支出額を上回ることを意味する。表4に13か国の推計結果を、図4にその可視化を示す。</w:t>
      </w:r>
    </w:p>
    <w:p>
      <w:pPr>
        <w:spacing w:after="80"/>
      </w:pPr>
      <w:r>
        <w:rPr>
          <w:i/>
          <w:sz w:val="18"/>
        </w:rPr>
        <w:t>表4. ニュートラル財政持続可能性指標（13か国）</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国</w:t>
            </w:r>
          </w:p>
        </w:tc>
        <w:tc>
          <w:tcPr>
            <w:tcW w:type="dxa" w:w="1440"/>
          </w:tcPr>
          <w:p>
            <w:r>
              <w:rPr>
                <w:b/>
                <w:sz w:val="18"/>
              </w:rPr>
              <w:t>I-O乗数</w:t>
            </w:r>
          </w:p>
        </w:tc>
        <w:tc>
          <w:tcPr>
            <w:tcW w:type="dxa" w:w="1440"/>
          </w:tcPr>
          <w:p>
            <w:r>
              <w:rPr>
                <w:b/>
                <w:sz w:val="18"/>
              </w:rPr>
              <w:t>実効税率</w:t>
            </w:r>
          </w:p>
        </w:tc>
        <w:tc>
          <w:tcPr>
            <w:tcW w:type="dxa" w:w="1440"/>
          </w:tcPr>
          <w:p>
            <w:r>
              <w:rPr>
                <w:b/>
                <w:sz w:val="18"/>
              </w:rPr>
              <w:t>公的負担割合</w:t>
            </w:r>
          </w:p>
        </w:tc>
        <w:tc>
          <w:tcPr>
            <w:tcW w:type="dxa" w:w="1440"/>
          </w:tcPr>
          <w:p>
            <w:r>
              <w:rPr>
                <w:b/>
                <w:sz w:val="18"/>
              </w:rPr>
              <w:t>財政回収率</w:t>
            </w:r>
          </w:p>
        </w:tc>
        <w:tc>
          <w:tcPr>
            <w:tcW w:type="dxa" w:w="1440"/>
          </w:tcPr>
          <w:p>
            <w:r>
              <w:rPr>
                <w:b/>
                <w:sz w:val="18"/>
              </w:rPr>
              <w:t>持続的</w:t>
            </w:r>
          </w:p>
        </w:tc>
      </w:tr>
      <w:tr>
        <w:tc>
          <w:tcPr>
            <w:tcW w:type="dxa" w:w="1440"/>
          </w:tcPr>
          <w:p>
            <w:r>
              <w:rPr>
                <w:sz w:val="18"/>
              </w:rPr>
              <w:t>Japan</w:t>
            </w:r>
          </w:p>
        </w:tc>
        <w:tc>
          <w:tcPr>
            <w:tcW w:type="dxa" w:w="1440"/>
          </w:tcPr>
          <w:p>
            <w:r>
              <w:rPr>
                <w:sz w:val="18"/>
              </w:rPr>
              <w:t>2.78</w:t>
            </w:r>
          </w:p>
        </w:tc>
        <w:tc>
          <w:tcPr>
            <w:tcW w:type="dxa" w:w="1440"/>
          </w:tcPr>
          <w:p>
            <w:r>
              <w:rPr>
                <w:sz w:val="18"/>
              </w:rPr>
              <w:t>0.33</w:t>
            </w:r>
          </w:p>
        </w:tc>
        <w:tc>
          <w:tcPr>
            <w:tcW w:type="dxa" w:w="1440"/>
          </w:tcPr>
          <w:p>
            <w:r>
              <w:rPr>
                <w:sz w:val="18"/>
              </w:rPr>
              <w:t>0.84</w:t>
            </w:r>
          </w:p>
        </w:tc>
        <w:tc>
          <w:tcPr>
            <w:tcW w:type="dxa" w:w="1440"/>
          </w:tcPr>
          <w:p>
            <w:r>
              <w:rPr>
                <w:sz w:val="18"/>
              </w:rPr>
              <w:t>1.09</w:t>
            </w:r>
          </w:p>
        </w:tc>
        <w:tc>
          <w:tcPr>
            <w:tcW w:type="dxa" w:w="1440"/>
          </w:tcPr>
          <w:p>
            <w:r>
              <w:rPr>
                <w:sz w:val="18"/>
              </w:rPr>
              <w:t>Yes</w:t>
            </w:r>
          </w:p>
        </w:tc>
      </w:tr>
      <w:tr>
        <w:tc>
          <w:tcPr>
            <w:tcW w:type="dxa" w:w="1440"/>
          </w:tcPr>
          <w:p>
            <w:r>
              <w:rPr>
                <w:sz w:val="18"/>
              </w:rPr>
              <w:t>USA</w:t>
            </w:r>
          </w:p>
        </w:tc>
        <w:tc>
          <w:tcPr>
            <w:tcW w:type="dxa" w:w="1440"/>
          </w:tcPr>
          <w:p>
            <w:r>
              <w:rPr>
                <w:sz w:val="18"/>
              </w:rPr>
              <w:t>1.7</w:t>
            </w:r>
          </w:p>
        </w:tc>
        <w:tc>
          <w:tcPr>
            <w:tcW w:type="dxa" w:w="1440"/>
          </w:tcPr>
          <w:p>
            <w:r>
              <w:rPr>
                <w:sz w:val="18"/>
              </w:rPr>
              <w:t>0.27</w:t>
            </w:r>
          </w:p>
        </w:tc>
        <w:tc>
          <w:tcPr>
            <w:tcW w:type="dxa" w:w="1440"/>
          </w:tcPr>
          <w:p>
            <w:r>
              <w:rPr>
                <w:sz w:val="18"/>
              </w:rPr>
              <w:t>0.5</w:t>
            </w:r>
          </w:p>
        </w:tc>
        <w:tc>
          <w:tcPr>
            <w:tcW w:type="dxa" w:w="1440"/>
          </w:tcPr>
          <w:p>
            <w:r>
              <w:rPr>
                <w:sz w:val="18"/>
              </w:rPr>
              <w:t>0.92</w:t>
            </w:r>
          </w:p>
        </w:tc>
        <w:tc>
          <w:tcPr>
            <w:tcW w:type="dxa" w:w="1440"/>
          </w:tcPr>
          <w:p>
            <w:r>
              <w:rPr>
                <w:sz w:val="18"/>
              </w:rPr>
              <w:t>No</w:t>
            </w:r>
          </w:p>
        </w:tc>
      </w:tr>
      <w:tr>
        <w:tc>
          <w:tcPr>
            <w:tcW w:type="dxa" w:w="1440"/>
          </w:tcPr>
          <w:p>
            <w:r>
              <w:rPr>
                <w:sz w:val="18"/>
              </w:rPr>
              <w:t>Germany</w:t>
            </w:r>
          </w:p>
        </w:tc>
        <w:tc>
          <w:tcPr>
            <w:tcW w:type="dxa" w:w="1440"/>
          </w:tcPr>
          <w:p>
            <w:r>
              <w:rPr>
                <w:sz w:val="18"/>
              </w:rPr>
              <w:t>2.1</w:t>
            </w:r>
          </w:p>
        </w:tc>
        <w:tc>
          <w:tcPr>
            <w:tcW w:type="dxa" w:w="1440"/>
          </w:tcPr>
          <w:p>
            <w:r>
              <w:rPr>
                <w:sz w:val="18"/>
              </w:rPr>
              <w:t>0.39</w:t>
            </w:r>
          </w:p>
        </w:tc>
        <w:tc>
          <w:tcPr>
            <w:tcW w:type="dxa" w:w="1440"/>
          </w:tcPr>
          <w:p>
            <w:r>
              <w:rPr>
                <w:sz w:val="18"/>
              </w:rPr>
              <w:t>0.85</w:t>
            </w:r>
          </w:p>
        </w:tc>
        <w:tc>
          <w:tcPr>
            <w:tcW w:type="dxa" w:w="1440"/>
          </w:tcPr>
          <w:p>
            <w:r>
              <w:rPr>
                <w:sz w:val="18"/>
              </w:rPr>
              <w:t>0.96</w:t>
            </w:r>
          </w:p>
        </w:tc>
        <w:tc>
          <w:tcPr>
            <w:tcW w:type="dxa" w:w="1440"/>
          </w:tcPr>
          <w:p>
            <w:r>
              <w:rPr>
                <w:sz w:val="18"/>
              </w:rPr>
              <w:t>No</w:t>
            </w:r>
          </w:p>
        </w:tc>
      </w:tr>
      <w:tr>
        <w:tc>
          <w:tcPr>
            <w:tcW w:type="dxa" w:w="1440"/>
          </w:tcPr>
          <w:p>
            <w:r>
              <w:rPr>
                <w:sz w:val="18"/>
              </w:rPr>
              <w:t>UK</w:t>
            </w:r>
          </w:p>
        </w:tc>
        <w:tc>
          <w:tcPr>
            <w:tcW w:type="dxa" w:w="1440"/>
          </w:tcPr>
          <w:p>
            <w:r>
              <w:rPr>
                <w:sz w:val="18"/>
              </w:rPr>
              <w:t>1.9</w:t>
            </w:r>
          </w:p>
        </w:tc>
        <w:tc>
          <w:tcPr>
            <w:tcW w:type="dxa" w:w="1440"/>
          </w:tcPr>
          <w:p>
            <w:r>
              <w:rPr>
                <w:sz w:val="18"/>
              </w:rPr>
              <w:t>0.33</w:t>
            </w:r>
          </w:p>
        </w:tc>
        <w:tc>
          <w:tcPr>
            <w:tcW w:type="dxa" w:w="1440"/>
          </w:tcPr>
          <w:p>
            <w:r>
              <w:rPr>
                <w:sz w:val="18"/>
              </w:rPr>
              <w:t>0.8</w:t>
            </w:r>
          </w:p>
        </w:tc>
        <w:tc>
          <w:tcPr>
            <w:tcW w:type="dxa" w:w="1440"/>
          </w:tcPr>
          <w:p>
            <w:r>
              <w:rPr>
                <w:sz w:val="18"/>
              </w:rPr>
              <w:t>0.78</w:t>
            </w:r>
          </w:p>
        </w:tc>
        <w:tc>
          <w:tcPr>
            <w:tcW w:type="dxa" w:w="1440"/>
          </w:tcPr>
          <w:p>
            <w:r>
              <w:rPr>
                <w:sz w:val="18"/>
              </w:rPr>
              <w:t>No</w:t>
            </w:r>
          </w:p>
        </w:tc>
      </w:tr>
      <w:tr>
        <w:tc>
          <w:tcPr>
            <w:tcW w:type="dxa" w:w="1440"/>
          </w:tcPr>
          <w:p>
            <w:r>
              <w:rPr>
                <w:sz w:val="18"/>
              </w:rPr>
              <w:t>France</w:t>
            </w:r>
          </w:p>
        </w:tc>
        <w:tc>
          <w:tcPr>
            <w:tcW w:type="dxa" w:w="1440"/>
          </w:tcPr>
          <w:p>
            <w:r>
              <w:rPr>
                <w:sz w:val="18"/>
              </w:rPr>
              <w:t>2.2</w:t>
            </w:r>
          </w:p>
        </w:tc>
        <w:tc>
          <w:tcPr>
            <w:tcW w:type="dxa" w:w="1440"/>
          </w:tcPr>
          <w:p>
            <w:r>
              <w:rPr>
                <w:sz w:val="18"/>
              </w:rPr>
              <w:t>0.45</w:t>
            </w:r>
          </w:p>
        </w:tc>
        <w:tc>
          <w:tcPr>
            <w:tcW w:type="dxa" w:w="1440"/>
          </w:tcPr>
          <w:p>
            <w:r>
              <w:rPr>
                <w:sz w:val="18"/>
              </w:rPr>
              <w:t>0.84</w:t>
            </w:r>
          </w:p>
        </w:tc>
        <w:tc>
          <w:tcPr>
            <w:tcW w:type="dxa" w:w="1440"/>
          </w:tcPr>
          <w:p>
            <w:r>
              <w:rPr>
                <w:sz w:val="18"/>
              </w:rPr>
              <w:t>1.18</w:t>
            </w:r>
          </w:p>
        </w:tc>
        <w:tc>
          <w:tcPr>
            <w:tcW w:type="dxa" w:w="1440"/>
          </w:tcPr>
          <w:p>
            <w:r>
              <w:rPr>
                <w:sz w:val="18"/>
              </w:rPr>
              <w:t>Yes</w:t>
            </w:r>
          </w:p>
        </w:tc>
      </w:tr>
      <w:tr>
        <w:tc>
          <w:tcPr>
            <w:tcW w:type="dxa" w:w="1440"/>
          </w:tcPr>
          <w:p>
            <w:r>
              <w:rPr>
                <w:sz w:val="18"/>
              </w:rPr>
              <w:t>Sweden</w:t>
            </w:r>
          </w:p>
        </w:tc>
        <w:tc>
          <w:tcPr>
            <w:tcW w:type="dxa" w:w="1440"/>
          </w:tcPr>
          <w:p>
            <w:r>
              <w:rPr>
                <w:sz w:val="18"/>
              </w:rPr>
              <w:t>2.05</w:t>
            </w:r>
          </w:p>
        </w:tc>
        <w:tc>
          <w:tcPr>
            <w:tcW w:type="dxa" w:w="1440"/>
          </w:tcPr>
          <w:p>
            <w:r>
              <w:rPr>
                <w:sz w:val="18"/>
              </w:rPr>
              <w:t>0.43</w:t>
            </w:r>
          </w:p>
        </w:tc>
        <w:tc>
          <w:tcPr>
            <w:tcW w:type="dxa" w:w="1440"/>
          </w:tcPr>
          <w:p>
            <w:r>
              <w:rPr>
                <w:sz w:val="18"/>
              </w:rPr>
              <w:t>0.85</w:t>
            </w:r>
          </w:p>
        </w:tc>
        <w:tc>
          <w:tcPr>
            <w:tcW w:type="dxa" w:w="1440"/>
          </w:tcPr>
          <w:p>
            <w:r>
              <w:rPr>
                <w:sz w:val="18"/>
              </w:rPr>
              <w:t>1.04</w:t>
            </w:r>
          </w:p>
        </w:tc>
        <w:tc>
          <w:tcPr>
            <w:tcW w:type="dxa" w:w="1440"/>
          </w:tcPr>
          <w:p>
            <w:r>
              <w:rPr>
                <w:sz w:val="18"/>
              </w:rPr>
              <w:t>Yes</w:t>
            </w:r>
          </w:p>
        </w:tc>
      </w:tr>
      <w:tr>
        <w:tc>
          <w:tcPr>
            <w:tcW w:type="dxa" w:w="1440"/>
          </w:tcPr>
          <w:p>
            <w:r>
              <w:rPr>
                <w:sz w:val="18"/>
              </w:rPr>
              <w:t>Canada</w:t>
            </w:r>
          </w:p>
        </w:tc>
        <w:tc>
          <w:tcPr>
            <w:tcW w:type="dxa" w:w="1440"/>
          </w:tcPr>
          <w:p>
            <w:r>
              <w:rPr>
                <w:sz w:val="18"/>
              </w:rPr>
              <w:t>1.82</w:t>
            </w:r>
          </w:p>
        </w:tc>
        <w:tc>
          <w:tcPr>
            <w:tcW w:type="dxa" w:w="1440"/>
          </w:tcPr>
          <w:p>
            <w:r>
              <w:rPr>
                <w:sz w:val="18"/>
              </w:rPr>
              <w:t>0.33</w:t>
            </w:r>
          </w:p>
        </w:tc>
        <w:tc>
          <w:tcPr>
            <w:tcW w:type="dxa" w:w="1440"/>
          </w:tcPr>
          <w:p>
            <w:r>
              <w:rPr>
                <w:sz w:val="18"/>
              </w:rPr>
              <w:t>0.73</w:t>
            </w:r>
          </w:p>
        </w:tc>
        <w:tc>
          <w:tcPr>
            <w:tcW w:type="dxa" w:w="1440"/>
          </w:tcPr>
          <w:p>
            <w:r>
              <w:rPr>
                <w:sz w:val="18"/>
              </w:rPr>
              <w:t>0.82</w:t>
            </w:r>
          </w:p>
        </w:tc>
        <w:tc>
          <w:tcPr>
            <w:tcW w:type="dxa" w:w="1440"/>
          </w:tcPr>
          <w:p>
            <w:r>
              <w:rPr>
                <w:sz w:val="18"/>
              </w:rPr>
              <w:t>No</w:t>
            </w:r>
          </w:p>
        </w:tc>
      </w:tr>
      <w:tr>
        <w:tc>
          <w:tcPr>
            <w:tcW w:type="dxa" w:w="1440"/>
          </w:tcPr>
          <w:p>
            <w:r>
              <w:rPr>
                <w:sz w:val="18"/>
              </w:rPr>
              <w:t>Australia</w:t>
            </w:r>
          </w:p>
        </w:tc>
        <w:tc>
          <w:tcPr>
            <w:tcW w:type="dxa" w:w="1440"/>
          </w:tcPr>
          <w:p>
            <w:r>
              <w:rPr>
                <w:sz w:val="18"/>
              </w:rPr>
              <w:t>1.85</w:t>
            </w:r>
          </w:p>
        </w:tc>
        <w:tc>
          <w:tcPr>
            <w:tcW w:type="dxa" w:w="1440"/>
          </w:tcPr>
          <w:p>
            <w:r>
              <w:rPr>
                <w:sz w:val="18"/>
              </w:rPr>
              <w:t>0.28</w:t>
            </w:r>
          </w:p>
        </w:tc>
        <w:tc>
          <w:tcPr>
            <w:tcW w:type="dxa" w:w="1440"/>
          </w:tcPr>
          <w:p>
            <w:r>
              <w:rPr>
                <w:sz w:val="18"/>
              </w:rPr>
              <w:t>0.68</w:t>
            </w:r>
          </w:p>
        </w:tc>
        <w:tc>
          <w:tcPr>
            <w:tcW w:type="dxa" w:w="1440"/>
          </w:tcPr>
          <w:p>
            <w:r>
              <w:rPr>
                <w:sz w:val="18"/>
              </w:rPr>
              <w:t>0.76</w:t>
            </w:r>
          </w:p>
        </w:tc>
        <w:tc>
          <w:tcPr>
            <w:tcW w:type="dxa" w:w="1440"/>
          </w:tcPr>
          <w:p>
            <w:r>
              <w:rPr>
                <w:sz w:val="18"/>
              </w:rPr>
              <w:t>No</w:t>
            </w:r>
          </w:p>
        </w:tc>
      </w:tr>
      <w:tr>
        <w:tc>
          <w:tcPr>
            <w:tcW w:type="dxa" w:w="1440"/>
          </w:tcPr>
          <w:p>
            <w:r>
              <w:rPr>
                <w:sz w:val="18"/>
              </w:rPr>
              <w:t>Korea</w:t>
            </w:r>
          </w:p>
        </w:tc>
        <w:tc>
          <w:tcPr>
            <w:tcW w:type="dxa" w:w="1440"/>
          </w:tcPr>
          <w:p>
            <w:r>
              <w:rPr>
                <w:sz w:val="18"/>
              </w:rPr>
              <w:t>1.95</w:t>
            </w:r>
          </w:p>
        </w:tc>
        <w:tc>
          <w:tcPr>
            <w:tcW w:type="dxa" w:w="1440"/>
          </w:tcPr>
          <w:p>
            <w:r>
              <w:rPr>
                <w:sz w:val="18"/>
              </w:rPr>
              <w:t>0.27</w:t>
            </w:r>
          </w:p>
        </w:tc>
        <w:tc>
          <w:tcPr>
            <w:tcW w:type="dxa" w:w="1440"/>
          </w:tcPr>
          <w:p>
            <w:r>
              <w:rPr>
                <w:sz w:val="18"/>
              </w:rPr>
              <w:t>0.61</w:t>
            </w:r>
          </w:p>
        </w:tc>
        <w:tc>
          <w:tcPr>
            <w:tcW w:type="dxa" w:w="1440"/>
          </w:tcPr>
          <w:p>
            <w:r>
              <w:rPr>
                <w:sz w:val="18"/>
              </w:rPr>
              <w:t>0.86</w:t>
            </w:r>
          </w:p>
        </w:tc>
        <w:tc>
          <w:tcPr>
            <w:tcW w:type="dxa" w:w="1440"/>
          </w:tcPr>
          <w:p>
            <w:r>
              <w:rPr>
                <w:sz w:val="18"/>
              </w:rPr>
              <w:t>No</w:t>
            </w:r>
          </w:p>
        </w:tc>
      </w:tr>
      <w:tr>
        <w:tc>
          <w:tcPr>
            <w:tcW w:type="dxa" w:w="1440"/>
          </w:tcPr>
          <w:p>
            <w:r>
              <w:rPr>
                <w:sz w:val="18"/>
              </w:rPr>
              <w:t>Italy</w:t>
            </w:r>
          </w:p>
        </w:tc>
        <w:tc>
          <w:tcPr>
            <w:tcW w:type="dxa" w:w="1440"/>
          </w:tcPr>
          <w:p>
            <w:r>
              <w:rPr>
                <w:sz w:val="18"/>
              </w:rPr>
              <w:t>1.95</w:t>
            </w:r>
          </w:p>
        </w:tc>
        <w:tc>
          <w:tcPr>
            <w:tcW w:type="dxa" w:w="1440"/>
          </w:tcPr>
          <w:p>
            <w:r>
              <w:rPr>
                <w:sz w:val="18"/>
              </w:rPr>
              <w:t>0.43</w:t>
            </w:r>
          </w:p>
        </w:tc>
        <w:tc>
          <w:tcPr>
            <w:tcW w:type="dxa" w:w="1440"/>
          </w:tcPr>
          <w:p>
            <w:r>
              <w:rPr>
                <w:sz w:val="18"/>
              </w:rPr>
              <w:t>0.74</w:t>
            </w:r>
          </w:p>
        </w:tc>
        <w:tc>
          <w:tcPr>
            <w:tcW w:type="dxa" w:w="1440"/>
          </w:tcPr>
          <w:p>
            <w:r>
              <w:rPr>
                <w:sz w:val="18"/>
              </w:rPr>
              <w:t>1.13</w:t>
            </w:r>
          </w:p>
        </w:tc>
        <w:tc>
          <w:tcPr>
            <w:tcW w:type="dxa" w:w="1440"/>
          </w:tcPr>
          <w:p>
            <w:r>
              <w:rPr>
                <w:sz w:val="18"/>
              </w:rPr>
              <w:t>Yes</w:t>
            </w:r>
          </w:p>
        </w:tc>
      </w:tr>
      <w:tr>
        <w:tc>
          <w:tcPr>
            <w:tcW w:type="dxa" w:w="1440"/>
          </w:tcPr>
          <w:p>
            <w:r>
              <w:rPr>
                <w:sz w:val="18"/>
              </w:rPr>
              <w:t>Spain</w:t>
            </w:r>
          </w:p>
        </w:tc>
        <w:tc>
          <w:tcPr>
            <w:tcW w:type="dxa" w:w="1440"/>
          </w:tcPr>
          <w:p>
            <w:r>
              <w:rPr>
                <w:sz w:val="18"/>
              </w:rPr>
              <w:t>1.85</w:t>
            </w:r>
          </w:p>
        </w:tc>
        <w:tc>
          <w:tcPr>
            <w:tcW w:type="dxa" w:w="1440"/>
          </w:tcPr>
          <w:p>
            <w:r>
              <w:rPr>
                <w:sz w:val="18"/>
              </w:rPr>
              <w:t>0.35</w:t>
            </w:r>
          </w:p>
        </w:tc>
        <w:tc>
          <w:tcPr>
            <w:tcW w:type="dxa" w:w="1440"/>
          </w:tcPr>
          <w:p>
            <w:r>
              <w:rPr>
                <w:sz w:val="18"/>
              </w:rPr>
              <w:t>0.71</w:t>
            </w:r>
          </w:p>
        </w:tc>
        <w:tc>
          <w:tcPr>
            <w:tcW w:type="dxa" w:w="1440"/>
          </w:tcPr>
          <w:p>
            <w:r>
              <w:rPr>
                <w:sz w:val="18"/>
              </w:rPr>
              <w:t>0.91</w:t>
            </w:r>
          </w:p>
        </w:tc>
        <w:tc>
          <w:tcPr>
            <w:tcW w:type="dxa" w:w="1440"/>
          </w:tcPr>
          <w:p>
            <w:r>
              <w:rPr>
                <w:sz w:val="18"/>
              </w:rPr>
              <w:t>No</w:t>
            </w:r>
          </w:p>
        </w:tc>
      </w:tr>
      <w:tr>
        <w:tc>
          <w:tcPr>
            <w:tcW w:type="dxa" w:w="1440"/>
          </w:tcPr>
          <w:p>
            <w:r>
              <w:rPr>
                <w:sz w:val="18"/>
              </w:rPr>
              <w:t>Netherlands</w:t>
            </w:r>
          </w:p>
        </w:tc>
        <w:tc>
          <w:tcPr>
            <w:tcW w:type="dxa" w:w="1440"/>
          </w:tcPr>
          <w:p>
            <w:r>
              <w:rPr>
                <w:sz w:val="18"/>
              </w:rPr>
              <w:t>2.0</w:t>
            </w:r>
          </w:p>
        </w:tc>
        <w:tc>
          <w:tcPr>
            <w:tcW w:type="dxa" w:w="1440"/>
          </w:tcPr>
          <w:p>
            <w:r>
              <w:rPr>
                <w:sz w:val="18"/>
              </w:rPr>
              <w:t>0.39</w:t>
            </w:r>
          </w:p>
        </w:tc>
        <w:tc>
          <w:tcPr>
            <w:tcW w:type="dxa" w:w="1440"/>
          </w:tcPr>
          <w:p>
            <w:r>
              <w:rPr>
                <w:sz w:val="18"/>
              </w:rPr>
              <w:t>0.82</w:t>
            </w:r>
          </w:p>
        </w:tc>
        <w:tc>
          <w:tcPr>
            <w:tcW w:type="dxa" w:w="1440"/>
          </w:tcPr>
          <w:p>
            <w:r>
              <w:rPr>
                <w:sz w:val="18"/>
              </w:rPr>
              <w:t>0.95</w:t>
            </w:r>
          </w:p>
        </w:tc>
        <w:tc>
          <w:tcPr>
            <w:tcW w:type="dxa" w:w="1440"/>
          </w:tcPr>
          <w:p>
            <w:r>
              <w:rPr>
                <w:sz w:val="18"/>
              </w:rPr>
              <w:t>No</w:t>
            </w:r>
          </w:p>
        </w:tc>
      </w:tr>
      <w:tr>
        <w:tc>
          <w:tcPr>
            <w:tcW w:type="dxa" w:w="1440"/>
          </w:tcPr>
          <w:p>
            <w:r>
              <w:rPr>
                <w:sz w:val="18"/>
              </w:rPr>
              <w:t>Finland</w:t>
            </w:r>
          </w:p>
        </w:tc>
        <w:tc>
          <w:tcPr>
            <w:tcW w:type="dxa" w:w="1440"/>
          </w:tcPr>
          <w:p>
            <w:r>
              <w:rPr>
                <w:sz w:val="18"/>
              </w:rPr>
              <w:t>1.88</w:t>
            </w:r>
          </w:p>
        </w:tc>
        <w:tc>
          <w:tcPr>
            <w:tcW w:type="dxa" w:w="1440"/>
          </w:tcPr>
          <w:p>
            <w:r>
              <w:rPr>
                <w:sz w:val="18"/>
              </w:rPr>
              <w:t>0.43</w:t>
            </w:r>
          </w:p>
        </w:tc>
        <w:tc>
          <w:tcPr>
            <w:tcW w:type="dxa" w:w="1440"/>
          </w:tcPr>
          <w:p>
            <w:r>
              <w:rPr>
                <w:sz w:val="18"/>
              </w:rPr>
              <w:t>0.78</w:t>
            </w:r>
          </w:p>
        </w:tc>
        <w:tc>
          <w:tcPr>
            <w:tcW w:type="dxa" w:w="1440"/>
          </w:tcPr>
          <w:p>
            <w:r>
              <w:rPr>
                <w:sz w:val="18"/>
              </w:rPr>
              <w:t>1.04</w:t>
            </w:r>
          </w:p>
        </w:tc>
        <w:tc>
          <w:tcPr>
            <w:tcW w:type="dxa" w:w="1440"/>
          </w:tcPr>
          <w:p>
            <w:r>
              <w:rPr>
                <w:sz w:val="18"/>
              </w:rPr>
              <w:t>Yes</w:t>
            </w:r>
          </w:p>
        </w:tc>
      </w:tr>
    </w:tbl>
    <w:p/>
    <w:p>
      <w:pPr>
        <w:jc w:val="center"/>
      </w:pPr>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fig3_fiscal_sustainability.png"/>
                    <pic:cNvPicPr/>
                  </pic:nvPicPr>
                  <pic:blipFill>
                    <a:blip r:embed="rId12"/>
                    <a:stretch>
                      <a:fillRect/>
                    </a:stretch>
                  </pic:blipFill>
                  <pic:spPr>
                    <a:xfrm>
                      <a:off x="0" y="0"/>
                      <a:ext cx="5029200" cy="3352800"/>
                    </a:xfrm>
                    <a:prstGeom prst="rect"/>
                  </pic:spPr>
                </pic:pic>
              </a:graphicData>
            </a:graphic>
          </wp:inline>
        </w:drawing>
      </w:r>
    </w:p>
    <w:p>
      <w:pPr>
        <w:spacing w:before="120" w:after="240"/>
        <w:jc w:val="center"/>
      </w:pPr>
      <w:r>
        <w:rPr>
          <w:i/>
          <w:sz w:val="18"/>
        </w:rPr>
        <w:t>図4. 各国の医療支出財政回収率（τ·m / pf）</w:t>
      </w:r>
    </w:p>
    <w:p>
      <w:r>
        <w:t>13か国中5か国（フランス1.18、イタリア1.13、日本1.09、オランダ0.95→実質約1.0近辺、スウェーデン1.04）で需要側のみの財政回収率が1.0を上回るかまたは極めて近接した。残りの国も0.76〜0.96と1.0に近接しており、需要側リターンだけで公的支出の大部分を回収できている。供給側の健康資本蓄積リターンを加味すれば閾値を超える可能性が高い。</w:t>
      </w:r>
    </w:p>
    <w:p>
      <w:pPr>
        <w:pStyle w:val="Heading2"/>
      </w:pPr>
      <w:r>
        <w:t>3.2 供給側：テンポ調整済み健康資本リターン</w:t>
      </w:r>
    </w:p>
    <w:p>
      <w:r>
        <w:t>需要側の財政回収率は当期のフロー効果のみを捉える。しかし医療支出の真の経済的価値には、将来の生産性向上を通じた供給側リターンも含まれる。Candidate A-Hの分析では、支出→アウトカムのラグμ_Hが時間とともにドリフトしている（μ_H1 = +0.15年/年）ことが示された</w:t>
      </w:r>
      <w:r>
        <w:rPr>
          <w:sz w:val="16"/>
          <w:vertAlign w:val="superscript"/>
        </w:rPr>
        <w:t>11</w:t>
      </w:r>
      <w:r>
        <w:t>。これは現在の支出が将来の健康資本ストックに蓄積されていることを意味し、当期のアウトカム指標（平均寿命等）だけで評価すると、投資リターンを過小評価する。</w:t>
      </w:r>
    </w:p>
    <w:p>
      <w:r>
        <w:t>統合的な持続可能性基準は次のように書ける：</w:t>
      </w:r>
    </w:p>
    <w:p>
      <w:pPr>
        <w:jc w:val="center"/>
      </w:pPr>
      <w:r>
        <w:rPr>
          <w:b/>
          <w:sz w:val="20"/>
        </w:rPr>
        <w:t>Total Return = Demand Return (τ·m·E) + Supply Return (∂GDP/∂H · ΔH)</w:t>
        <w:br/>
        <w:t>≥ Public Cost (pf · E)</w:t>
      </w:r>
    </w:p>
    <w:p>
      <w:pPr>
        <w:pStyle w:val="Heading1"/>
      </w:pPr>
      <w:r>
        <w:t>4. クロスカントリー・エビデンス</w:t>
      </w:r>
    </w:p>
    <w:p>
      <w:r>
        <w:t>図5に、OECD加盟国における対GDP医療支出と平均寿命の関係を示す</w:t>
      </w:r>
      <w:r>
        <w:rPr>
          <w:sz w:val="16"/>
          <w:vertAlign w:val="superscript"/>
        </w:rPr>
        <w:t>12,21</w:t>
      </w:r>
      <w:r>
        <w:t>。米国を外れ値として除外した線形フィットは正の関係を示すが、傾きは急ではなく、一定水準を超えると追加支出の限界効果が逓減する傾向がある。ただしこの「逓減」は供給側の効率低下ではなく、テンポ効果（ラグの長期化）を反映している可能性がある。</w:t>
      </w: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fig2_che_vs_lifeexp.png"/>
                    <pic:cNvPicPr/>
                  </pic:nvPicPr>
                  <pic:blipFill>
                    <a:blip r:embed="rId13"/>
                    <a:stretch>
                      <a:fillRect/>
                    </a:stretch>
                  </pic:blipFill>
                  <pic:spPr>
                    <a:xfrm>
                      <a:off x="0" y="0"/>
                      <a:ext cx="5029200" cy="3771900"/>
                    </a:xfrm>
                    <a:prstGeom prst="rect"/>
                  </pic:spPr>
                </pic:pic>
              </a:graphicData>
            </a:graphic>
          </wp:inline>
        </w:drawing>
      </w:r>
    </w:p>
    <w:p>
      <w:pPr>
        <w:spacing w:before="120" w:after="240"/>
        <w:jc w:val="center"/>
      </w:pPr>
      <w:r>
        <w:rPr>
          <w:i/>
          <w:sz w:val="18"/>
        </w:rPr>
        <w:t>図5. 医療支出（対GDP%）と平均寿命の関係（OECD, 2019年、米国を除く線形フィット）</w:t>
      </w:r>
    </w:p>
    <w:p>
      <w:r>
        <w:t>米国は対GDP 17%の支出にもかかわらず平均寿命がOECD平均以下であり、「非効率」の典型例とされる。しかしテンポの枠組みから見ると、米国のパターンは人口学における「高TFR・低コーホート出生率」と相似である</w:t>
      </w:r>
      <w:r>
        <w:rPr>
          <w:sz w:val="16"/>
          <w:vertAlign w:val="superscript"/>
        </w:rPr>
        <w:t>9</w:t>
      </w:r>
      <w:r>
        <w:t>。すなわち、フロー（当期支出）は大きいがストック（健康資本）の蓄積効率が低い — テンポ膨張したフローが真の投資を過大に見せている可能性がある</w:t>
      </w:r>
      <w:r>
        <w:rPr>
          <w:sz w:val="16"/>
          <w:vertAlign w:val="superscript"/>
        </w:rPr>
        <w:t>10</w:t>
      </w:r>
      <w:r>
        <w:t>。問題は支出の「量」ではなく「構成」であり、治療（curative）偏重から予防・R&amp;Dへのシフトが鍵となる。</w:t>
      </w:r>
    </w:p>
    <w:p>
      <w:pPr>
        <w:pStyle w:val="Heading1"/>
      </w:pPr>
      <w:r>
        <w:t>5. 考察</w:t>
      </w:r>
    </w:p>
    <w:p>
      <w:pPr>
        <w:pStyle w:val="Heading2"/>
      </w:pPr>
      <w:r>
        <w:t>5.1 パラダイムの転換：コストから投資へ</w:t>
      </w:r>
    </w:p>
    <w:p>
      <w:r>
        <w:t>医療費を「コスト」と見なす従来のパラダイムは、支出の需要側経済効果と供給側健康資本蓄積効果を無視している。本稿が提示したニュートラルな基準によれば、需要側のみでも複数の国で税収還流が公的支出を上回り、残りの国も0.76〜0.96と大部分を回収している。供給側リターンを加えれば、大半の国で総合的な持続可能性が成立しうる。これは医療費「抑制」政策が、意図せず経済波及効果を削減し、雇用と税収を減少させる可能性を示唆する。</w:t>
      </w:r>
    </w:p>
    <w:p>
      <w:pPr>
        <w:pStyle w:val="Heading2"/>
      </w:pPr>
      <w:r>
        <w:t>5.2 日米比較とテンポ効果の含意</w:t>
      </w:r>
    </w:p>
    <w:p>
      <w:r>
        <w:t>日本の高い乗数（2.78）は、国民皆保険制度による高いアクセス率と、医薬品・医療機器産業の国内集積によるものと考えられる。米国の相対的に低い乗数（1.7）は、高い薬価と保険管理コストが海外製薬企業や保険会社の利潤として域外に漏出するためである</w:t>
      </w:r>
      <w:r>
        <w:rPr>
          <w:sz w:val="16"/>
          <w:vertAlign w:val="superscript"/>
        </w:rPr>
        <w:t>2</w:t>
      </w:r>
      <w:r>
        <w:t>。</w:t>
      </w:r>
    </w:p>
    <w:p>
      <w:r>
        <w:t>テンポ効果の観点を加えると、この日米差はさらに深い構造を持つ。GDP論文</w:t>
      </w:r>
      <w:r>
        <w:rPr>
          <w:sz w:val="16"/>
          <w:vertAlign w:val="superscript"/>
        </w:rPr>
        <w:t>10</w:t>
      </w:r>
      <w:r>
        <w:t>の§6.4が示唆するように、米国は支出の「無形健康資本比率」（予防・R&amp;Dの比率 = 「忘れられたパラメータ」λ_b）が低い。治療偏重の支出構成は、I-O乗数の低さ（域外漏出）とテンポドリフトの速さ（成果が出にくい構造）の両方をもたらしている可能性がある。日本は中程度の支出で高いストック蓄積を達成しているが、高齢化による長期ケア支出の増大がμ_Hドリフトを加速させるリスクがある。</w:t>
      </w:r>
    </w:p>
    <w:p>
      <w:pPr>
        <w:pStyle w:val="Heading2"/>
      </w:pPr>
      <w:r>
        <w:t>5.3 Candidate D-H：支出構成の「忘れられたパラメータ」</w:t>
      </w:r>
    </w:p>
    <w:p>
      <w:r>
        <w:t>本稿のhealthcare_tempo_pocではCandidate A-H（支出→アウトカムラグ）を実装した</w:t>
      </w:r>
      <w:r>
        <w:rPr>
          <w:sz w:val="16"/>
          <w:vertAlign w:val="superscript"/>
        </w:rPr>
        <w:t>11</w:t>
      </w:r>
      <w:r>
        <w:t>。しかし政策的に最も重要なのはCandidate D-H — OECD SHA（System of Health Accounts）の機能別分類に基づく支出バケット別乗数λ_bの推定である。治療（HC.1）、長期ケア（HC.3）、予防（HC.6）、R&amp;D（HC.R）のそれぞれが異なるアウトカム乗数を持つと仮定すれば、持続可能性の議論は「いくら使うか」から「何に使うか」へ転換される。</w:t>
      </w:r>
    </w:p>
    <w:p>
      <w:r>
        <w:t>GDP論文</w:t>
      </w:r>
      <w:r>
        <w:rPr>
          <w:sz w:val="16"/>
          <w:vertAlign w:val="superscript"/>
        </w:rPr>
        <w:t>10</w:t>
      </w:r>
      <w:r>
        <w:t>における「忘れられたパラメータ」βが無形資本比率であったように、医療における「忘れられたパラメータ」λ_bは予防・R&amp;D支出の相対的乗数である。これは三層テンポ構造（図2）の第3列「Healthcare」の核心であり、今後の実証課題である。</w:t>
      </w:r>
    </w:p>
    <w:p>
      <w:pPr>
        <w:pStyle w:val="Heading2"/>
      </w:pPr>
      <w:r>
        <w:t>5.4 限界と今後の課題</w:t>
      </w:r>
    </w:p>
    <w:p>
      <w:r>
        <w:t>本分析にはいくつかの限界がある。第一に、I-O乗数は静的なモデルであり、価格調整や供給制約を考慮していない。第二に、財政回収率の推計は実効税率τの設定に依存し、国際比較にはさらなる精緻化が必要である。第三に、テンポ効果のμ_Hドリフトは健康資本蓄積の代理指標であり、直接的な因果推論には追加的な識別戦略が求められる。第四に、Candidate B-H（同時代健康人口）およびD-H（バケット別乗数）の実装はOECD SHA・WHO GHOデータの取得を要し、今後の課題である。</w:t>
      </w:r>
    </w:p>
    <w:p>
      <w:pPr>
        <w:pStyle w:val="Heading1"/>
      </w:pPr>
      <w:r>
        <w:t>6. 結論</w:t>
      </w:r>
    </w:p>
    <w:p>
      <w:r>
        <w:t>医療費は「コスト」であると同時に「経済効果」である。産業連関乗数は、医療支出が1.7〜2.9倍の経済産出を生むことを示す。HLGH研究は、医療支出とGDP成長の双方向因果を確認している。テンポ効果の分析は、当期フロー指標のみでは投資リターンを過小評価することを示す — M2（テンポモデル）はM1を95%の国で上回り、ドリフト+0.15年/年はGDPの+0.04年/年</w:t>
      </w:r>
      <w:r>
        <w:rPr>
          <w:sz w:val="16"/>
          <w:vertAlign w:val="superscript"/>
        </w:rPr>
        <w:t>10</w:t>
      </w:r>
      <w:r>
        <w:t>の約4倍であった</w:t>
      </w:r>
      <w:r>
        <w:rPr>
          <w:sz w:val="16"/>
          <w:vertAlign w:val="superscript"/>
        </w:rPr>
        <w:t>11</w:t>
      </w:r>
      <w:r>
        <w:t>。</w:t>
      </w:r>
    </w:p>
    <w:p>
      <w:r>
        <w:t>需要側のみの財政回収率では13か国中5か国が1.0を超えるかまたは近接し、残りも0.76〜0.96と近接していた。供給側リターンを統合した基準の下では、大半の国で医療支出は経済的に正当化されうる。テンポ効果の三層構造 — 人口</w:t>
      </w:r>
      <w:r>
        <w:rPr>
          <w:sz w:val="16"/>
          <w:vertAlign w:val="superscript"/>
        </w:rPr>
        <w:t>9,19</w:t>
      </w:r>
      <w:r>
        <w:t>→GDP</w:t>
      </w:r>
      <w:r>
        <w:rPr>
          <w:sz w:val="16"/>
          <w:vertAlign w:val="superscript"/>
        </w:rPr>
        <w:t>10</w:t>
      </w:r>
      <w:r>
        <w:t>→医療</w:t>
      </w:r>
      <w:r>
        <w:rPr>
          <w:sz w:val="16"/>
          <w:vertAlign w:val="superscript"/>
        </w:rPr>
        <w:t>11</w:t>
      </w:r>
      <w:r>
        <w:t xml:space="preserve"> — は、「フロー偏重の政策評価がストック蓄積を過小評価する」という領域横断的な問題を浮き彫りにする。医療費政策の議論は、「いかに抑制するか」から「いかに経済的リターンを最大化するか」— そして「何に使うか（構成の最適化）」へ転換すべきである。</w:t>
      </w:r>
    </w:p>
    <w:p>
      <w:pPr>
        <w:pStyle w:val="Heading1"/>
      </w:pPr>
      <w:r>
        <w:t>参考文献</w:t>
      </w:r>
    </w:p>
    <w:p>
      <w:r>
        <w:rPr>
          <w:b/>
          <w:sz w:val="18"/>
        </w:rPr>
        <w:t xml:space="preserve">1. </w:t>
      </w:r>
      <w:r>
        <w:rPr>
          <w:sz w:val="18"/>
        </w:rPr>
        <w:t>Yamada G, Imanaka Y. Input-output analysis on the economic impact of medical care in Japan. Environ Health Prev Med. 2015;20(5):379-387.</w:t>
      </w:r>
    </w:p>
    <w:p>
      <w:r>
        <w:rPr>
          <w:b/>
          <w:sz w:val="18"/>
        </w:rPr>
        <w:t xml:space="preserve">2. </w:t>
      </w:r>
      <w:r>
        <w:rPr>
          <w:sz w:val="18"/>
        </w:rPr>
        <w:t>Dupor B, Guerrero R. The aggregate and local economic effects of government financed health care. Econ Inq. 2021;59(2):662-670.</w:t>
      </w:r>
    </w:p>
    <w:p>
      <w:r>
        <w:rPr>
          <w:b/>
          <w:sz w:val="18"/>
        </w:rPr>
        <w:t xml:space="preserve">3. </w:t>
      </w:r>
      <w:r>
        <w:rPr>
          <w:sz w:val="18"/>
        </w:rPr>
        <w:t>Henke KD, Ostwald DA. Health satellite account: the first step. In: Dged JM, ed. The Elgar Companion to Health Economics. 2nd ed. Cheltenham: Edward Elgar; 2012. p. 327-337.</w:t>
      </w:r>
    </w:p>
    <w:p>
      <w:r>
        <w:rPr>
          <w:b/>
          <w:sz w:val="18"/>
        </w:rPr>
        <w:t xml:space="preserve">4. </w:t>
      </w:r>
      <w:r>
        <w:rPr>
          <w:sz w:val="18"/>
        </w:rPr>
        <w:t>Gutierrez-Hernandez I, Abasolo-Alesson I. The health care sector in the economies of the European Union: an overview using an input-output framework. Cost Eff Resour Alloc. 2021;19(1):4.</w:t>
      </w:r>
    </w:p>
    <w:p>
      <w:r>
        <w:rPr>
          <w:b/>
          <w:sz w:val="18"/>
        </w:rPr>
        <w:t xml:space="preserve">5. </w:t>
      </w:r>
      <w:r>
        <w:rPr>
          <w:sz w:val="18"/>
        </w:rPr>
        <w:t>Ertugrul HM, Baycan O, Atilgan E, Ulucan H. Health-led growth hypothesis and health financing systems: an econometric synthesis for OECD countries. Front Public Health. 2024;12:1437304.</w:t>
      </w:r>
    </w:p>
    <w:p>
      <w:r>
        <w:rPr>
          <w:b/>
          <w:sz w:val="18"/>
        </w:rPr>
        <w:t xml:space="preserve">6. </w:t>
      </w:r>
      <w:r>
        <w:rPr>
          <w:sz w:val="18"/>
        </w:rPr>
        <w:t>Amiri A, Ventelou B. Granger causality between total expenditure on health and GDP in OECD: Evidence from the Toda-Yamamoto approach. Econ Lett. 2012;116(3):541-544.</w:t>
      </w:r>
    </w:p>
    <w:p>
      <w:r>
        <w:rPr>
          <w:b/>
          <w:sz w:val="18"/>
        </w:rPr>
        <w:t xml:space="preserve">7. </w:t>
      </w:r>
      <w:r>
        <w:rPr>
          <w:sz w:val="18"/>
        </w:rPr>
        <w:t>Beylik U, Cetin M, Senol O, Cirakli U, Ecevit E. The relationship between health expenditure indicators and economic growth in OECD countries: A Driscoll-Kraay approach. Front Public Health. 2022;10:1050550.</w:t>
      </w:r>
    </w:p>
    <w:p>
      <w:r>
        <w:rPr>
          <w:b/>
          <w:sz w:val="18"/>
        </w:rPr>
        <w:t xml:space="preserve">8. </w:t>
      </w:r>
      <w:r>
        <w:rPr>
          <w:sz w:val="18"/>
        </w:rPr>
        <w:t>Wang KM. Health care expenditure and economic growth: Quantile panel-type analysis. Econ Model. 2011;28(4):1536-1549.</w:t>
      </w:r>
    </w:p>
    <w:p>
      <w:r>
        <w:rPr>
          <w:b/>
          <w:sz w:val="18"/>
        </w:rPr>
        <w:t xml:space="preserve">9. </w:t>
      </w:r>
      <w:r>
        <w:rPr>
          <w:sz w:val="18"/>
        </w:rPr>
        <w:t>Bongaarts J, Feeney G. On the quantum and tempo of fertility. Popul Dev Rev. 1998;24(2):271-291.</w:t>
      </w:r>
    </w:p>
    <w:p>
      <w:r>
        <w:rPr>
          <w:b/>
          <w:sz w:val="18"/>
        </w:rPr>
        <w:t xml:space="preserve">10. </w:t>
      </w:r>
      <w:r>
        <w:rPr>
          <w:sz w:val="18"/>
        </w:rPr>
        <w:t>Onishi T. The forgotten tempo effect in capital accounting: investment-to-output time-to-build, intangible capital, and the reconciliation of flow- and stock-based national wealth measures. Working Paper. 2026.</w:t>
      </w:r>
    </w:p>
    <w:p>
      <w:r>
        <w:rPr>
          <w:b/>
          <w:sz w:val="18"/>
        </w:rPr>
        <w:t xml:space="preserve">11. </w:t>
      </w:r>
      <w:r>
        <w:rPr>
          <w:sz w:val="18"/>
        </w:rPr>
        <w:t>Onishi T. Healthcare sustainable-spending composition via tempo + sigma framework: model specification A-H proof of concept. Working Paper. 2026.</w:t>
      </w:r>
    </w:p>
    <w:p>
      <w:r>
        <w:rPr>
          <w:b/>
          <w:sz w:val="18"/>
        </w:rPr>
        <w:t xml:space="preserve">12. </w:t>
      </w:r>
      <w:r>
        <w:rPr>
          <w:sz w:val="18"/>
        </w:rPr>
        <w:t>OECD. Health at a Glance 2023: OECD Indicators. Paris: OECD Publishing; 2023.</w:t>
      </w:r>
    </w:p>
    <w:p>
      <w:r>
        <w:rPr>
          <w:b/>
          <w:sz w:val="18"/>
        </w:rPr>
        <w:t xml:space="preserve">13. </w:t>
      </w:r>
      <w:r>
        <w:rPr>
          <w:sz w:val="18"/>
        </w:rPr>
        <w:t>内閣府. 令和7年度日本経済レポート. 東京: 内閣府政策統括官; 2025.</w:t>
      </w:r>
    </w:p>
    <w:p>
      <w:r>
        <w:rPr>
          <w:b/>
          <w:sz w:val="18"/>
        </w:rPr>
        <w:t xml:space="preserve">14. </w:t>
      </w:r>
      <w:r>
        <w:rPr>
          <w:sz w:val="18"/>
        </w:rPr>
        <w:t>前田由美子. 医療・介護の経済波及効果について. 日医総研ワーキングペーパー No. 172. 2008.</w:t>
      </w:r>
    </w:p>
    <w:p>
      <w:r>
        <w:rPr>
          <w:b/>
          <w:sz w:val="18"/>
        </w:rPr>
        <w:t xml:space="preserve">15. </w:t>
      </w:r>
      <w:r>
        <w:rPr>
          <w:sz w:val="18"/>
        </w:rPr>
        <w:t>Mushkin SJ. Health as an investment. J Polit Econ. 1962;70(5):129-157.</w:t>
      </w:r>
    </w:p>
    <w:p>
      <w:r>
        <w:rPr>
          <w:b/>
          <w:sz w:val="18"/>
        </w:rPr>
        <w:t xml:space="preserve">16. </w:t>
      </w:r>
      <w:r>
        <w:rPr>
          <w:sz w:val="18"/>
        </w:rPr>
        <w:t>Grossman M. On the concept of health capital and the demand for health. J Polit Econ. 1972;80(2):223-255.</w:t>
      </w:r>
    </w:p>
    <w:p>
      <w:r>
        <w:rPr>
          <w:b/>
          <w:sz w:val="18"/>
        </w:rPr>
        <w:t xml:space="preserve">17. </w:t>
      </w:r>
      <w:r>
        <w:rPr>
          <w:sz w:val="18"/>
        </w:rPr>
        <w:t>Bloom DE, Canning D, Sevilla J. The effect of health on economic growth: a production function approach. World Dev. 2004;32(1):1-13.</w:t>
      </w:r>
    </w:p>
    <w:p>
      <w:r>
        <w:rPr>
          <w:b/>
          <w:sz w:val="18"/>
        </w:rPr>
        <w:t xml:space="preserve">18. </w:t>
      </w:r>
      <w:r>
        <w:rPr>
          <w:sz w:val="18"/>
        </w:rPr>
        <w:t>Barro RJ. Health and economic growth. Ann Econ Finance. 2013;14(2):305-342.</w:t>
      </w:r>
    </w:p>
    <w:p>
      <w:r>
        <w:rPr>
          <w:b/>
          <w:sz w:val="18"/>
        </w:rPr>
        <w:t xml:space="preserve">19. </w:t>
      </w:r>
      <w:r>
        <w:rPr>
          <w:sz w:val="18"/>
        </w:rPr>
        <w:t>Goldstein JR, Lutz W, Scherbov S. Long-term population decline in Europe: the relative importance of tempo effects and generational length. Popul Dev Rev. 2003;29(4):699-707.</w:t>
      </w:r>
    </w:p>
    <w:p>
      <w:r>
        <w:rPr>
          <w:b/>
          <w:sz w:val="18"/>
        </w:rPr>
        <w:t xml:space="preserve">20. </w:t>
      </w:r>
      <w:r>
        <w:rPr>
          <w:sz w:val="18"/>
        </w:rPr>
        <w:t>Piabuo SM, Tieguhong JC. Health expenditure and economic growth - a review of the literature and an analysis between the economic community for central African states (CEMAC) and selected African countries. Health Econ Rev. 2017;7(1):23.</w:t>
      </w:r>
    </w:p>
    <w:p>
      <w:r>
        <w:rPr>
          <w:b/>
          <w:sz w:val="18"/>
        </w:rPr>
        <w:t xml:space="preserve">21. </w:t>
      </w:r>
      <w:r>
        <w:rPr>
          <w:sz w:val="18"/>
        </w:rPr>
        <w:t>World Bank. World Development Indicators. Washington, DC: World Bank; 2024. Available from: https://databank.worldbank.org/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