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(Gasparrini et al., 2015; Basu, 2009).</w:t>
      </w:r>
      <w:r>
        <w:t xml:space="preserve"> Recent syntheses also link higher ambient temperature to increased road traffic accidents and injuries</w:t>
      </w:r>
      <w:r>
        <w:rPr/>
        <w:t xml:space="preserve"> (Liang et al., 2022; Liang et al., 2021).</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2022; Liang et al., 2021).</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temporarily reduce or suspend rentals above high-temperature thresholds,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