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Summary</w:t>
      </w:r>
    </w:p>
    <w:p>
      <w:pPr>
        <w:spacing w:after="120" w:line="480" w:lineRule="auto"/>
      </w:pPr>
      <w:r>
        <w:rPr>
          <w:b/>
        </w:rPr>
        <w:t xml:space="preserve">Background </w:t>
      </w:r>
      <w:r>
        <w:t>Ambient heat is an established mortality risk factor; because driving continues in heat, fatal crashes may involve heat-related impairment or unrecorded heat illness. We quantified the acute association between local heat anomalies and daily traffic-crash mortality in the US and Japan.</w:t>
      </w:r>
    </w:p>
    <w:p>
      <w:pPr>
        <w:spacing w:after="120" w:line="480" w:lineRule="auto"/>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after="120" w:line="480" w:lineRule="auto"/>
      </w:pPr>
      <w:r>
        <w:rPr>
          <w:b/>
        </w:rPr>
        <w:t xml:space="preserve">Findings </w:t>
      </w:r>
      <w:r>
        <w:t>In the USA (272,586 crash deaths), a +9°C anomaly raised same-day crash mortality, RR 1.165 (95% CI 1.135-1.196), and remained similar in a VIF-screened full-controls model (VIF threshold 10; retained log-population offset, daily precipitation and estimated WBGT anomaly; iteratively dropped vmt_state, humidex_anom, heat_index_anom; RR 1.170 (1.122-1.219); cumulative RR 1.086 (1.019-1.157)). The excess was larger for open-air users (motorcyclists RR 2.140, pedestrians RR 1.215) than vehicle occupants (RR 1.050). Net heat-attributable deaths were 528 per year (1.36%), similar to 527 recorded direct-heat deaths (ICD-10 X30); +1 to +3°C warming projected 347-1009 additional deaths per year. Japan data (11,576 deaths) were too sparse for a precise estimate.</w:t>
      </w:r>
    </w:p>
    <w:p>
      <w:pPr>
        <w:spacing w:after="120" w:line="480" w:lineRule="auto"/>
      </w:pPr>
      <w:r>
        <w:rPr>
          <w:b/>
        </w:rPr>
        <w:t xml:space="preserve">Interpretation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after="120" w:line="480" w:lineRule="auto"/>
      </w:pPr>
      <w:r>
        <w:rPr>
          <w:b/>
        </w:rPr>
        <w:t xml:space="preserve">Funding </w:t>
      </w:r>
      <w:r>
        <w:t>None.</w:t>
      </w:r>
    </w:p>
    <w:p>
      <w:pPr>
        <w:pStyle w:val="Heading1"/>
      </w:pPr>
      <w:r>
        <w:t>Research in context</w:t>
      </w:r>
    </w:p>
    <w:p>
      <w:pPr>
        <w:spacing w:after="120" w:line="480" w:lineRule="auto"/>
      </w:pPr>
      <w:r>
        <w:rPr>
          <w:b/>
        </w:rPr>
        <w:t xml:space="preserve">Evidence before this study </w:t>
      </w:r>
      <w:r>
        <w:t>Ambient heat is a well-established driver of daily mortality, and distributed-lag and distributed-lag non-linear models linking temperature to death are a mature methodology. Prior work has largely focused on cardiovascular, respiratory, and all-cause mortality; heat illness is thought to be substantially under-recorded because it is rarely investigated after death. Traffic-crash deaths, which seldom undergo a heat-oriented post-mortem examination, have received little attention as a possible reservoir of unrecognised heat mortality. We are not aware of national population-level studies quantifying the acute crash-mortality burden of hotter-than-normal days alongside officially recorded direct-heat deaths.</w:t>
      </w:r>
    </w:p>
    <w:p>
      <w:pPr>
        <w:spacing w:after="120" w:line="480" w:lineRule="auto"/>
      </w:pPr>
      <w:r>
        <w:rPr>
          <w:b/>
        </w:rPr>
        <w:t xml:space="preserve">Added value of this study </w:t>
      </w:r>
      <w:r>
        <w:t>Using only public data, we show at the population level that days hotter than the local seasonal norm carry an acute excess of US traffic-crash deaths that persists after adjustment for national driving activity, is concentrated in heat-exposed open-air road users, and is comparable in magnitude to all officially recorded direct-heat mortality. We provide scenario projections showing this hidden burden would grow under uniform warming, and we report a much weaker, imprecise signal in Japan.</w:t>
      </w:r>
    </w:p>
    <w:p>
      <w:pPr>
        <w:spacing w:after="120" w:line="480" w:lineRule="auto"/>
      </w:pPr>
      <w:r>
        <w:rPr>
          <w:b/>
        </w:rPr>
        <w:t xml:space="preserve">Implications of all the available evidence </w:t>
      </w:r>
      <w:r>
        <w:t>The results suggest that routine cause-of-death coding may miss a heat contribution to road deaths of societal importance, and that this burden is sensitive to future warming. Because the analysis is ecological, it cannot attribute any individual crash to heat illness and cannot exclude weather-related changes in activity; it motivates individual-level investigation, such as heat-aware forensic assessment of crash fatalities.</w:t>
      </w:r>
    </w:p>
    <w:p>
      <w:pPr>
        <w:pStyle w:val="Heading1"/>
      </w:pPr>
      <w:r>
        <w:t>Introduction</w:t>
      </w:r>
    </w:p>
    <w:p>
      <w:pPr>
        <w:spacing w:after="120" w:line="480" w:lineRule="auto"/>
      </w:pPr>
      <w:r>
        <w:t>Road traffic crashes are a leading cause of preventable death, and climate change is adding a heat-related layer of risk. Ambient heat is an established driver of mortality.</w:t>
      </w:r>
      <w:r>
        <w:rPr>
          <w:vertAlign w:val="superscript"/>
        </w:rPr>
        <w:t>1,2</w:t>
      </w:r>
      <w:r>
        <w:t xml:space="preserve"> Driving, riding and walking nonetheless continue in hot weather, and heat degrades psychomotor and cognitive performance.</w:t>
      </w:r>
      <w:r>
        <w:rPr>
          <w:vertAlign w:val="superscript"/>
        </w:rPr>
        <w:t>3</w:t>
      </w:r>
      <w:r>
        <w:t xml:space="preserve"> Ambient heat is therefore plausibly an under-recognised road-safety hazard: a crash-risk condition that agencies do not currently monitor, warn against or mitigate. Recent syntheses link higher ambient temperature to increased road traffic accidents and injuries,</w:t>
      </w:r>
      <w:r>
        <w:rPr>
          <w:vertAlign w:val="superscript"/>
        </w:rPr>
        <w:t>4,5</w:t>
      </w:r>
      <w:r>
        <w:t xml:space="preserve"> but fatal crashes have rarely been examined as a heat-related safety outcome in their own right. We therefore ask whether days that are hotter than the local seasonal norm carry excess traffic-crash mortality, which road users are most affected, and whether the circumstances of the excess crashes are consistent with a heat-impairment mechanism. One corollary is surveillance: because crash decedents rarely undergo post-mortem assessment for a heat contribution, any such contribution would be invisible in routine cause-of-death coding, so we also compare the magnitude with officially recorded direct-heat deaths. If ambient heat is a road-safety hazard, heat-aware crash-prevention messaging and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6</w:t>
      </w:r>
      <w:r>
        <w:t xml:space="preserve"> and by Japanese prefecture (National Police Agency [NPA] accident open data, 2019-2024).</w:t>
      </w:r>
      <w:r>
        <w:rPr>
          <w:vertAlign w:val="superscript"/>
        </w:rPr>
        <w:t>7</w:t>
      </w:r>
      <w:r>
        <w:t xml:space="preserve"> Daily mean temperature was taken from the Global Historical Climatology Network-Daily (GHCN-Daily) stations</w:t>
      </w:r>
      <w:r>
        <w:rPr>
          <w:vertAlign w:val="superscript"/>
        </w:rPr>
        <w:t>8</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9</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10</w:t>
      </w:r>
      <w:r>
        <w:t xml:space="preserve"> with Monte Carlo (MC) confidence intervals (CIs). As sensitivity analyses for the US we added (i) national vehicle-miles travelled (VMT)</w:t>
      </w:r>
      <w:r>
        <w:rPr>
          <w:vertAlign w:val="superscript"/>
        </w:rPr>
        <w:t>11</w:t>
      </w:r>
      <w:r>
        <w:t xml:space="preserve"> and finished-motor-gasoline product supplied</w:t>
      </w:r>
      <w:r>
        <w:rPr>
          <w:vertAlign w:val="superscript"/>
        </w:rPr>
        <w:t>12</w:t>
      </w:r>
      <w:r>
        <w:t xml:space="preserve"> as activity proxies, and (ii) a richer control set with state annual population entered as a log offset</w:t>
      </w:r>
      <w:r>
        <w:rPr>
          <w:vertAlign w:val="superscript"/>
        </w:rPr>
        <w:t>13</w:t>
      </w:r>
      <w:r>
        <w:t>, state annual VMT</w:t>
      </w:r>
      <w:r>
        <w:rPr>
          <w:vertAlign w:val="superscript"/>
        </w:rPr>
        <w:t>14</w:t>
      </w:r>
      <w:r>
        <w:t xml:space="preserve"> and daily state precipitation, all as z-scored linear terms except the population offset, plus GHCN-derived heat-stress metrics (humidex, NOAA heat index, and an estimated wet-bulb globe temperature) expressed as anomalies relative to their day-of-year climatology. Because heat-stress metrics are functions of temperature and can be collinear with the anomaly exposure, we selected the primary full-controls model by a variance-inflation-factor (VIF) screen (iteratively dropping added controls with VIF &gt; 10). A stricter VIF &lt; 5 screen and an unscreened model retaining all candidate controls were also fitted and reported as sensitivity analyses. Heat-stress metrics were tested individually because they are functions of temperature. State fixed effects capture time-invariant cross-state differences in baseline risk, while the log-population offset scales expected counts within each state across years; because state annual VMT is correlated with population size, the two partly adjust for the same scale factor, so their simultaneous use is reported as a sensitivity analysis rather than the primary specification. Officially recorded direct-heat deaths (International Classification of Diseases, 10th revision [ICD-10] code X30) were obtained from CDC WONDER.</w:t>
      </w:r>
      <w:r>
        <w:rPr>
          <w:vertAlign w:val="superscript"/>
        </w:rPr>
        <w:t>15</w:t>
      </w:r>
      <w:r>
        <w:t xml:space="preserve"> We performed three further US analyses: (i) refitting the same-day model within crash-hour bands to test whether the excess concentrates in the hottest hours; (ii) refitting it by road-user type (vehicle occupant, motorcyclist, pedestrian, cyclist), age band and crash circumstances (manner of collision, weather condition, rural/urban land use and police-reported driver drinking) from FARS records, as mechanistic and vulnerability analyses;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272,586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272,586</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1.135-1.196), with a cumulative lag 0-10 RR of 1.076 (95% CI 1.017-1.139).</w:t>
      </w:r>
    </w:p>
    <w:p/>
    <w:p>
      <w:pPr>
        <w:jc w:val="center"/>
      </w:pPr>
      <w:r>
        <w:drawing>
          <wp:inline xmlns:a="http://schemas.openxmlformats.org/drawingml/2006/main" xmlns:pic="http://schemas.openxmlformats.org/drawingml/2006/picture">
            <wp:extent cx="5120640" cy="3957523"/>
            <wp:docPr id="1" name="Picture 1"/>
            <wp:cNvGraphicFramePr>
              <a:graphicFrameLocks noChangeAspect="1"/>
            </wp:cNvGraphicFramePr>
            <a:graphic>
              <a:graphicData uri="http://schemas.openxmlformats.org/drawingml/2006/picture">
                <pic:pic>
                  <pic:nvPicPr>
                    <pic:cNvPr id="0" name="fig1_absolute_exposure_response.png"/>
                    <pic:cNvPicPr/>
                  </pic:nvPicPr>
                  <pic:blipFill>
                    <a:blip r:embed="rId9"/>
                    <a:stretch>
                      <a:fillRect/>
                    </a:stretch>
                  </pic:blipFill>
                  <pic:spPr>
                    <a:xfrm>
                      <a:off x="0" y="0"/>
                      <a:ext cx="5120640" cy="3957523"/>
                    </a:xfrm>
                    <a:prstGeom prst="rect"/>
                  </pic:spPr>
                </pic:pic>
              </a:graphicData>
            </a:graphic>
          </wp:inline>
        </w:drawing>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
      <w:pPr>
        <w:jc w:val="center"/>
      </w:pPr>
      <w:r>
        <w:drawing>
          <wp:inline xmlns:a="http://schemas.openxmlformats.org/drawingml/2006/main" xmlns:pic="http://schemas.openxmlformats.org/drawingml/2006/picture">
            <wp:extent cx="5120640" cy="3760012"/>
            <wp:docPr id="2" name="Picture 2"/>
            <wp:cNvGraphicFramePr>
              <a:graphicFrameLocks noChangeAspect="1"/>
            </wp:cNvGraphicFramePr>
            <a:graphic>
              <a:graphicData uri="http://schemas.openxmlformats.org/drawingml/2006/picture">
                <pic:pic>
                  <pic:nvPicPr>
                    <pic:cNvPr id="0" name="fig2_anomaly_exposure_response.png"/>
                    <pic:cNvPicPr/>
                  </pic:nvPicPr>
                  <pic:blipFill>
                    <a:blip r:embed="rId10"/>
                    <a:stretch>
                      <a:fillRect/>
                    </a:stretch>
                  </pic:blipFill>
                  <pic:spPr>
                    <a:xfrm>
                      <a:off x="0" y="0"/>
                      <a:ext cx="5120640" cy="3760012"/>
                    </a:xfrm>
                    <a:prstGeom prst="rect"/>
                  </pic:spPr>
                </pic:pic>
              </a:graphicData>
            </a:graphic>
          </wp:inline>
        </w:drawing>
      </w:r>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0.936 (0.904-0.968), consistent with short-term displacement (harvesting) rather than a net addition of deaths (Fig. 3; Table 2). The same-day association was essentially unchanged after adjusting for national vehicle-miles travelled and gasoline supplied (RR 1.163, 95% CI 1.133-1.194; cumulative RR 1.075 (1.015-1.138)). A variance-inflation-factor (VIF) screened full-controls model—starting with state population as a log offset plus z-scored state annual VMT, daily precipitation and the three heat-stress metrics, then iteratively dropping any added control with VIF &gt; 10—retained log-population offset, daily precipitation and estimated WBGT anomaly. Iteratively dropped variables were vmt_state, humidex_anom, heat_index_anom. Its same-day RR remained similar (RR 1.170 (1.122-1.219)), but the cumulative 0-10 day RR was attenuated (RR 1.086 (1.019-1.157)). A stricter VIF &lt; 5 screen retained daily precipitation (RR 1.165 (1.135-1.196); cumulative RR 1.083 (1.023-1.146)), while the unscreened full-controls model attenuated toward the null (RR 1.070 (1.021-1.121); cumulative RR 1.005 (0.941-1.073); max control VIF 323.8). Heat-stress metrics were tested individually because they are functions of temperature and can be collinear with the anomaly; they yielded variable same-day estimates and the heat-index model attenuated toward the null.</w:t>
      </w:r>
    </w:p>
    <w:p/>
    <w:p>
      <w:pPr>
        <w:jc w:val="center"/>
      </w:pPr>
      <w:r>
        <w:drawing>
          <wp:inline xmlns:a="http://schemas.openxmlformats.org/drawingml/2006/main" xmlns:pic="http://schemas.openxmlformats.org/drawingml/2006/picture">
            <wp:extent cx="5120640" cy="3640399"/>
            <wp:docPr id="3" name="Picture 3"/>
            <wp:cNvGraphicFramePr>
              <a:graphicFrameLocks noChangeAspect="1"/>
            </wp:cNvGraphicFramePr>
            <a:graphic>
              <a:graphicData uri="http://schemas.openxmlformats.org/drawingml/2006/picture">
                <pic:pic>
                  <pic:nvPicPr>
                    <pic:cNvPr id="0" name="fig3_lag_response.png"/>
                    <pic:cNvPicPr/>
                  </pic:nvPicPr>
                  <pic:blipFill>
                    <a:blip r:embed="rId11"/>
                    <a:stretch>
                      <a:fillRect/>
                    </a:stretch>
                  </pic:blipFill>
                  <pic:spPr>
                    <a:xfrm>
                      <a:off x="0" y="0"/>
                      <a:ext cx="5120640" cy="3640399"/>
                    </a:xfrm>
                    <a:prstGeom prst="rect"/>
                  </pic:spPr>
                </pic:pic>
              </a:graphicData>
            </a:graphic>
          </wp:inline>
        </w:drawing>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(1.135-1.196)</w:t>
            </w:r>
          </w:p>
        </w:tc>
        <w:tc>
          <w:tcPr>
            <w:tcW w:type="dxa" w:w="2880"/>
          </w:tcPr>
          <w:p>
            <w:r>
              <w:t>0.940 (0.743-1.190)</w:t>
            </w:r>
          </w:p>
        </w:tc>
      </w:tr>
      <w:tr>
        <w:tc>
          <w:tcPr>
            <w:tcW w:type="dxa" w:w="2880"/>
          </w:tcPr>
          <w:p>
            <w:r>
              <w:t>1-3</w:t>
            </w:r>
          </w:p>
        </w:tc>
        <w:tc>
          <w:tcPr>
            <w:tcW w:type="dxa" w:w="2880"/>
          </w:tcPr>
          <w:p>
            <w:r>
              <w:t>0.936 (0.904-0.968)</w:t>
            </w:r>
          </w:p>
        </w:tc>
        <w:tc>
          <w:tcPr>
            <w:tcW w:type="dxa" w:w="2880"/>
          </w:tcPr>
          <w:p>
            <w:r>
              <w:t>1.146 (0.739-1.779)</w:t>
            </w:r>
          </w:p>
        </w:tc>
      </w:tr>
      <w:tr>
        <w:tc>
          <w:tcPr>
            <w:tcW w:type="dxa" w:w="2880"/>
          </w:tcPr>
          <w:p>
            <w:r>
              <w:t>4-10</w:t>
            </w:r>
          </w:p>
        </w:tc>
        <w:tc>
          <w:tcPr>
            <w:tcW w:type="dxa" w:w="2880"/>
          </w:tcPr>
          <w:p>
            <w:r>
              <w:t>0.987 (0.941-1.036)</w:t>
            </w:r>
          </w:p>
        </w:tc>
        <w:tc>
          <w:tcPr>
            <w:tcW w:type="dxa" w:w="2880"/>
          </w:tcPr>
          <w:p>
            <w:r>
              <w:t>0.521 (0.217-1.249)</w:t>
            </w:r>
          </w:p>
        </w:tc>
      </w:tr>
      <w:tr>
        <w:tc>
          <w:tcPr>
            <w:tcW w:type="dxa" w:w="2880"/>
          </w:tcPr>
          <w:p>
            <w:r>
              <w:t>Cumulative 0-10</w:t>
            </w:r>
          </w:p>
        </w:tc>
        <w:tc>
          <w:tcPr>
            <w:tcW w:type="dxa" w:w="2880"/>
          </w:tcPr>
          <w:p>
            <w:r>
              <w:t>1.076 (95% CI 1.017-1.139)</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(1.017-1.085), but much larger for open-air users: motorcyclists, RR 2.140 (2.000-2.290); pedestrians, RR 1.215 (1.147-1.288); and cyclists, RR 1.243 (1.038-1.490), a pattern consistent with direct bodily heat exposure and physical exertion.</w:t>
      </w:r>
      <w:r>
        <w:rPr>
          <w:vertAlign w:val="superscript"/>
        </w:rPr>
        <w:t>3</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(1.059-1.190); 25-64 y RR 1.176 (1.139-1.215); 65+ y RR 1.176 (1.113-1.242) (Table 3), giving no clear age gradient. Second, the excess was largest for crashes in the hottest part of the day (12-17 h), RR 1.217 (1.160-1.276), and weakest in the cool morning (06-11 h), RR 1.062 (1.001-1.127); the overnight band was also elevated (00-05 h), RR 1.176 (1.108-1.249), so the diurnal pattern is not a clean daytime-only gradient (Fig. 5). These subgroup analyses are hypothesis-generating: they involve multiple unadjusted comparisons and are not individual-level tests of susceptibility or mechanism.</w:t>
      </w:r>
    </w:p>
    <w:p/>
    <w:p>
      <w:pPr>
        <w:jc w:val="center"/>
      </w:pPr>
      <w:r>
        <w:drawing>
          <wp:inline xmlns:a="http://schemas.openxmlformats.org/drawingml/2006/main" xmlns:pic="http://schemas.openxmlformats.org/drawingml/2006/picture">
            <wp:extent cx="5120640" cy="3329646"/>
            <wp:docPr id="4" name="Picture 4"/>
            <wp:cNvGraphicFramePr>
              <a:graphicFrameLocks noChangeAspect="1"/>
            </wp:cNvGraphicFramePr>
            <a:graphic>
              <a:graphicData uri="http://schemas.openxmlformats.org/drawingml/2006/picture">
                <pic:pic>
                  <pic:nvPicPr>
                    <pic:cNvPr id="0" name="fig_us_roaduser.png"/>
                    <pic:cNvPicPr/>
                  </pic:nvPicPr>
                  <pic:blipFill>
                    <a:blip r:embed="rId12"/>
                    <a:stretch>
                      <a:fillRect/>
                    </a:stretch>
                  </pic:blipFill>
                  <pic:spPr>
                    <a:xfrm>
                      <a:off x="0" y="0"/>
                      <a:ext cx="5120640" cy="3329646"/>
                    </a:xfrm>
                    <a:prstGeom prst="rect"/>
                  </pic:spPr>
                </pic:pic>
              </a:graphicData>
            </a:graphic>
          </wp:inline>
        </w:drawing>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consistent with greater direct heat exposure, although mode-specific activity changes on hot days cannot be excluded.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179,618</w:t>
            </w:r>
          </w:p>
        </w:tc>
        <w:tc>
          <w:tcPr>
            <w:tcW w:type="dxa" w:w="2880"/>
          </w:tcPr>
          <w:p>
            <w:r>
              <w:t>1.050 (1.017-1.085)</w:t>
            </w:r>
          </w:p>
        </w:tc>
      </w:tr>
      <w:tr>
        <w:tc>
          <w:tcPr>
            <w:tcW w:type="dxa" w:w="2880"/>
          </w:tcPr>
          <w:p>
            <w:r>
              <w:t>Motorcyclist</w:t>
            </w:r>
          </w:p>
        </w:tc>
        <w:tc>
          <w:tcPr>
            <w:tcW w:type="dxa" w:w="2880"/>
          </w:tcPr>
          <w:p>
            <w:r>
              <w:t>38,644</w:t>
            </w:r>
          </w:p>
        </w:tc>
        <w:tc>
          <w:tcPr>
            <w:tcW w:type="dxa" w:w="2880"/>
          </w:tcPr>
          <w:p>
            <w:r>
              <w:t>2.140 (2.000-2.290)</w:t>
            </w:r>
          </w:p>
        </w:tc>
      </w:tr>
      <w:tr>
        <w:tc>
          <w:tcPr>
            <w:tcW w:type="dxa" w:w="2880"/>
          </w:tcPr>
          <w:p>
            <w:r>
              <w:t>Pedestrian</w:t>
            </w:r>
          </w:p>
        </w:tc>
        <w:tc>
          <w:tcPr>
            <w:tcW w:type="dxa" w:w="2880"/>
          </w:tcPr>
          <w:p>
            <w:r>
              <w:t>46,429</w:t>
            </w:r>
          </w:p>
        </w:tc>
        <w:tc>
          <w:tcPr>
            <w:tcW w:type="dxa" w:w="2880"/>
          </w:tcPr>
          <w:p>
            <w:r>
              <w:t>1.215 (1.147-1.288)</w:t>
            </w:r>
          </w:p>
        </w:tc>
      </w:tr>
      <w:tr>
        <w:tc>
          <w:tcPr>
            <w:tcW w:type="dxa" w:w="2880"/>
          </w:tcPr>
          <w:p>
            <w:r>
              <w:t>Cyclist</w:t>
            </w:r>
          </w:p>
        </w:tc>
        <w:tc>
          <w:tcPr>
            <w:tcW w:type="dxa" w:w="2880"/>
          </w:tcPr>
          <w:p>
            <w:r>
              <w:t>6,382</w:t>
            </w:r>
          </w:p>
        </w:tc>
        <w:tc>
          <w:tcPr>
            <w:tcW w:type="dxa" w:w="2880"/>
          </w:tcPr>
          <w:p>
            <w:r>
              <w:t>1.243 (1.038-1.490)</w:t>
            </w:r>
          </w:p>
        </w:tc>
      </w:tr>
      <w:tr>
        <w:tc>
          <w:tcPr>
            <w:tcW w:type="dxa" w:w="2880"/>
          </w:tcPr>
          <w:p>
            <w:r>
              <w:t>Age &lt;25 y</w:t>
            </w:r>
          </w:p>
        </w:tc>
        <w:tc>
          <w:tcPr>
            <w:tcW w:type="dxa" w:w="2880"/>
          </w:tcPr>
          <w:p>
            <w:r>
              <w:t>54,404</w:t>
            </w:r>
          </w:p>
        </w:tc>
        <w:tc>
          <w:tcPr>
            <w:tcW w:type="dxa" w:w="2880"/>
          </w:tcPr>
          <w:p>
            <w:r>
              <w:t>1.123 (1.059-1.190)</w:t>
            </w:r>
          </w:p>
        </w:tc>
      </w:tr>
      <w:tr>
        <w:tc>
          <w:tcPr>
            <w:tcW w:type="dxa" w:w="2880"/>
          </w:tcPr>
          <w:p>
            <w:r>
              <w:t>Age 25-64 y</w:t>
            </w:r>
          </w:p>
        </w:tc>
        <w:tc>
          <w:tcPr>
            <w:tcW w:type="dxa" w:w="2880"/>
          </w:tcPr>
          <w:p>
            <w:r>
              <w:t>168,001</w:t>
            </w:r>
          </w:p>
        </w:tc>
        <w:tc>
          <w:tcPr>
            <w:tcW w:type="dxa" w:w="2880"/>
          </w:tcPr>
          <w:p>
            <w:r>
              <w:t>1.176 (1.139-1.215)</w:t>
            </w:r>
          </w:p>
        </w:tc>
      </w:tr>
      <w:tr>
        <w:tc>
          <w:tcPr>
            <w:tcW w:type="dxa" w:w="2880"/>
          </w:tcPr>
          <w:p>
            <w:r>
              <w:t>Age 65+ y</w:t>
            </w:r>
          </w:p>
        </w:tc>
        <w:tc>
          <w:tcPr>
            <w:tcW w:type="dxa" w:w="2880"/>
          </w:tcPr>
          <w:p>
            <w:r>
              <w:t>50,068</w:t>
            </w:r>
          </w:p>
        </w:tc>
        <w:tc>
          <w:tcPr>
            <w:tcW w:type="dxa" w:w="2880"/>
          </w:tcPr>
          <w:p>
            <w:r>
              <w:t>1.176 (1.113-1.242)</w:t>
            </w:r>
          </w:p>
        </w:tc>
      </w:tr>
    </w:tbl>
    <w:p/>
    <w:p/>
    <w:p>
      <w:pPr>
        <w:jc w:val="center"/>
      </w:pPr>
      <w:r>
        <w:drawing>
          <wp:inline xmlns:a="http://schemas.openxmlformats.org/drawingml/2006/main" xmlns:pic="http://schemas.openxmlformats.org/drawingml/2006/picture">
            <wp:extent cx="5120640" cy="3874497"/>
            <wp:docPr id="5" name="Picture 5"/>
            <wp:cNvGraphicFramePr>
              <a:graphicFrameLocks noChangeAspect="1"/>
            </wp:cNvGraphicFramePr>
            <a:graphic>
              <a:graphicData uri="http://schemas.openxmlformats.org/drawingml/2006/picture">
                <pic:pic>
                  <pic:nvPicPr>
                    <pic:cNvPr id="0" name="fig_us_timeofday.png"/>
                    <pic:cNvPicPr/>
                  </pic:nvPicPr>
                  <pic:blipFill>
                    <a:blip r:embed="rId13"/>
                    <a:stretch>
                      <a:fillRect/>
                    </a:stretch>
                  </pic:blipFill>
                  <pic:spPr>
                    <a:xfrm>
                      <a:off x="0" y="0"/>
                      <a:ext cx="5120640" cy="3874497"/>
                    </a:xfrm>
                    <a:prstGeom prst="rect"/>
                  </pic:spPr>
                </pic:pic>
              </a:graphicData>
            </a:graphic>
          </wp:inline>
        </w:drawing>
      </w:r>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528 per year (95% CI 425-631), an attributable fraction of 1.36% (Fig. 6; Table 4). This is of the same order as the 527 officially recorded direct-heat deaths per year (ICD-10 X30, 2016-2020; Fig. 7), so a heat contribution to road deaths on the scale of recorded direct-heat mortality could go unrecorded in cause-of-death statistics.</w:t>
      </w:r>
    </w:p>
    <w:p/>
    <w:p>
      <w:pPr>
        <w:jc w:val="center"/>
      </w:pPr>
      <w:r>
        <w:drawing>
          <wp:inline xmlns:a="http://schemas.openxmlformats.org/drawingml/2006/main" xmlns:pic="http://schemas.openxmlformats.org/drawingml/2006/picture">
            <wp:extent cx="5120640" cy="3918339"/>
            <wp:docPr id="6" name="Picture 6"/>
            <wp:cNvGraphicFramePr>
              <a:graphicFrameLocks noChangeAspect="1"/>
            </wp:cNvGraphicFramePr>
            <a:graphic>
              <a:graphicData uri="http://schemas.openxmlformats.org/drawingml/2006/picture">
                <pic:pic>
                  <pic:nvPicPr>
                    <pic:cNvPr id="0" name="fig4_attributable_by_year.png"/>
                    <pic:cNvPicPr/>
                  </pic:nvPicPr>
                  <pic:blipFill>
                    <a:blip r:embed="rId14"/>
                    <a:stretch>
                      <a:fillRect/>
                    </a:stretch>
                  </pic:blipFill>
                  <pic:spPr>
                    <a:xfrm>
                      <a:off x="0" y="0"/>
                      <a:ext cx="5120640" cy="3918339"/>
                    </a:xfrm>
                    <a:prstGeom prst="rect"/>
                  </pic:spPr>
                </pic:pic>
              </a:graphicData>
            </a:graphic>
          </wp:inline>
        </w:drawing>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528</w:t>
            </w:r>
          </w:p>
        </w:tc>
      </w:tr>
      <w:tr>
        <w:tc>
          <w:tcPr>
            <w:tcW w:type="dxa" w:w="4320"/>
          </w:tcPr>
          <w:p>
            <w:r>
              <w:t>Attributable fraction (%)</w:t>
            </w:r>
          </w:p>
        </w:tc>
        <w:tc>
          <w:tcPr>
            <w:tcW w:type="dxa" w:w="4320"/>
          </w:tcPr>
          <w:p>
            <w:r>
              <w:t>1.36</w:t>
            </w:r>
          </w:p>
        </w:tc>
      </w:tr>
      <w:tr>
        <w:tc>
          <w:tcPr>
            <w:tcW w:type="dxa" w:w="4320"/>
          </w:tcPr>
          <w:p>
            <w:r>
              <w:t>Official direct-heat deaths / year (X30, 2016-2020)</w:t>
            </w:r>
          </w:p>
        </w:tc>
        <w:tc>
          <w:tcPr>
            <w:tcW w:type="dxa" w:w="4320"/>
          </w:tcPr>
          <w:p>
            <w:r>
              <w:t>527</w:t>
            </w:r>
          </w:p>
        </w:tc>
      </w:tr>
    </w:tbl>
    <w:p/>
    <w:p/>
    <w:p>
      <w:pPr>
        <w:jc w:val="center"/>
      </w:pPr>
      <w:r>
        <w:drawing>
          <wp:inline xmlns:a="http://schemas.openxmlformats.org/drawingml/2006/main" xmlns:pic="http://schemas.openxmlformats.org/drawingml/2006/picture">
            <wp:extent cx="5120640" cy="3889368"/>
            <wp:docPr id="7" name="Picture 7"/>
            <wp:cNvGraphicFramePr>
              <a:graphicFrameLocks noChangeAspect="1"/>
            </wp:cNvGraphicFramePr>
            <a:graphic>
              <a:graphicData uri="http://schemas.openxmlformats.org/drawingml/2006/picture">
                <pic:pic>
                  <pic:nvPicPr>
                    <pic:cNvPr id="0" name="fig5_hidden_vs_official.png"/>
                    <pic:cNvPicPr/>
                  </pic:nvPicPr>
                  <pic:blipFill>
                    <a:blip r:embed="rId15"/>
                    <a:stretch>
                      <a:fillRect/>
                    </a:stretch>
                  </pic:blipFill>
                  <pic:spPr>
                    <a:xfrm>
                      <a:off x="0" y="0"/>
                      <a:ext cx="5120640" cy="3889368"/>
                    </a:xfrm>
                    <a:prstGeom prst="rect"/>
                  </pic:spPr>
                </pic:pic>
              </a:graphicData>
            </a:graphic>
          </wp:inline>
        </w:drawing>
      </w:r>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347 additional US crash deaths per year (95% CI 257-436), rising to 1009 (667-1384) at +3 °C (Fig. 8; Table 5). These are scenario projections, not observed quantities, and assume the anomaly response is stable under a warmer mean climate.</w:t>
      </w:r>
    </w:p>
    <w:p/>
    <w:p>
      <w:pPr>
        <w:jc w:val="center"/>
      </w:pPr>
      <w:r>
        <w:drawing>
          <wp:inline xmlns:a="http://schemas.openxmlformats.org/drawingml/2006/main" xmlns:pic="http://schemas.openxmlformats.org/drawingml/2006/picture">
            <wp:extent cx="5120640" cy="3852943"/>
            <wp:docPr id="8" name="Picture 8"/>
            <wp:cNvGraphicFramePr>
              <a:graphicFrameLocks noChangeAspect="1"/>
            </wp:cNvGraphicFramePr>
            <a:graphic>
              <a:graphicData uri="http://schemas.openxmlformats.org/drawingml/2006/picture">
                <pic:pic>
                  <pic:nvPicPr>
                    <pic:cNvPr id="0" name="fig_us_projection.png"/>
                    <pic:cNvPicPr/>
                  </pic:nvPicPr>
                  <pic:blipFill>
                    <a:blip r:embed="rId16"/>
                    <a:stretch>
                      <a:fillRect/>
                    </a:stretch>
                  </pic:blipFill>
                  <pic:spPr>
                    <a:xfrm>
                      <a:off x="0" y="0"/>
                      <a:ext cx="5120640" cy="3852943"/>
                    </a:xfrm>
                    <a:prstGeom prst="rect"/>
                  </pic:spPr>
                </pic:pic>
              </a:graphicData>
            </a:graphic>
          </wp:inline>
        </w:drawing>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347 (257-436)</w:t>
            </w:r>
          </w:p>
        </w:tc>
      </w:tr>
      <w:tr>
        <w:tc>
          <w:tcPr>
            <w:tcW w:type="dxa" w:w="4320"/>
          </w:tcPr>
          <w:p>
            <w:r>
              <w:t>+2°C</w:t>
            </w:r>
          </w:p>
        </w:tc>
        <w:tc>
          <w:tcPr>
            <w:tcW w:type="dxa" w:w="4320"/>
          </w:tcPr>
          <w:p>
            <w:r>
              <w:t>678 (474-881)</w:t>
            </w:r>
          </w:p>
        </w:tc>
      </w:tr>
      <w:tr>
        <w:tc>
          <w:tcPr>
            <w:tcW w:type="dxa" w:w="4320"/>
          </w:tcPr>
          <w:p>
            <w:r>
              <w:t>+3°C</w:t>
            </w:r>
          </w:p>
        </w:tc>
        <w:tc>
          <w:tcPr>
            <w:tcW w:type="dxa" w:w="4320"/>
          </w:tcPr>
          <w:p>
            <w:r>
              <w:t>1009 (667-1384)</w:t>
            </w:r>
          </w:p>
        </w:tc>
      </w:tr>
    </w:tbl>
    <w:p/>
    <w:p>
      <w:pPr>
        <w:spacing w:after="120" w:line="480" w:lineRule="auto"/>
      </w:pPr>
      <w:r>
        <w:t>Crash-level strata provided four further checks on the mechanism and on robustness (Fig. 9; Table 6). The same-day excess was larger for single-vehicle crashes—those whose first harmful event was not a collision with another motor vehicle in transport, including run-off-road and pedestrian-involved crashes—than for multi-vehicle collisions (RR 1.199 (1.161-1.238) vs 1.113 (1.066-1.162)), the pattern expected if heat degrades driver performance independently of interaction with other vehicles. The excess persisted on clear or cloudy days (RR 1.185 (1.148-1.224)) and was similar in adverse weather (RR 1.119 (1.054-1.188)), so it is not explained by precipitation or wet-road surface conditions. Estimates were similar for rural (RR 1.139 (1.096-1.184)) and urban (RR 1.190 (1.150-1.232)) crashes. Finally, the excess was present and of similar magnitude whether or not a driver was reported to have been drinking (RR 1.178 (1.133-1.224) and 1.191 (1.119-1.269) respectively), indicating that the association is not driven by alcohol-involved crashes; police-reported drinking is, however, under-ascertained in FARS.</w:t>
      </w:r>
    </w:p>
    <w:p/>
    <w:p>
      <w:pPr>
        <w:jc w:val="center"/>
      </w:pPr>
      <w:r>
        <w:drawing>
          <wp:inline xmlns:a="http://schemas.openxmlformats.org/drawingml/2006/main" xmlns:pic="http://schemas.openxmlformats.org/drawingml/2006/picture">
            <wp:extent cx="5120640" cy="3175959"/>
            <wp:docPr id="9" name="Picture 9"/>
            <wp:cNvGraphicFramePr>
              <a:graphicFrameLocks noChangeAspect="1"/>
            </wp:cNvGraphicFramePr>
            <a:graphic>
              <a:graphicData uri="http://schemas.openxmlformats.org/drawingml/2006/picture">
                <pic:pic>
                  <pic:nvPicPr>
                    <pic:cNvPr id="0" name="fig_us_crashcontext.png"/>
                    <pic:cNvPicPr/>
                  </pic:nvPicPr>
                  <pic:blipFill>
                    <a:blip r:embed="rId17"/>
                    <a:stretch>
                      <a:fillRect/>
                    </a:stretch>
                  </pic:blipFill>
                  <pic:spPr>
                    <a:xfrm>
                      <a:off x="0" y="0"/>
                      <a:ext cx="5120640" cy="3175959"/>
                    </a:xfrm>
                    <a:prstGeom prst="rect"/>
                  </pic:spPr>
                </pic:pic>
              </a:graphicData>
            </a:graphic>
          </wp:inline>
        </w:drawing>
      </w:r>
    </w:p>
    <w:p>
      <w:pPr>
        <w:spacing w:before="280"/>
      </w:pPr>
      <w:r>
        <w:rPr>
          <w:b/>
        </w:rPr>
        <w:t xml:space="preserve">Figure 9. </w:t>
      </w:r>
      <w:r>
        <w:t>United States same-day rate ratio of crash death for a +9 °C anomaly by crash circumstances: manner of collision, weather condition, rural/urban land use and police-reported driver drinking. The excess is present for clear or cloudy days, is larger for single-vehicle (not a collision with a motor vehicle in transport) than multi-vehicle crashes, and is similar regardless of reported driver drinking—patterns consistent with a direct heat contribution rather than adverse-weather surface conditions or a purely behavioural pathway. These subgroup analyses are exploratory and are not adjusted for multiple comparisons.</w:t>
      </w:r>
    </w:p>
    <w:p/>
    <w:p>
      <w:pPr>
        <w:spacing w:before="280"/>
      </w:pPr>
      <w:r>
        <w:rPr>
          <w:b/>
        </w:rPr>
        <w:t xml:space="preserve">Table 6. </w:t>
      </w:r>
      <w:r>
        <w:t>United States same-day rate ratio of crash death for a +9 °C anomaly, by crash circumstances (crash-level strata). Single-vehicle crashes are those whose first harmful event was not a collision with a motor vehicle in transport (includes run-off-road and pedestrian crashes); driver drinking is police-reported for any involved driver; crashes with unreported or unknown drinking status are excluded. Subgroup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Manner of collision: Single-vehicle (not a MVIT collision)</w:t>
            </w:r>
          </w:p>
        </w:tc>
        <w:tc>
          <w:tcPr>
            <w:tcW w:type="dxa" w:w="2880"/>
          </w:tcPr>
          <w:p>
            <w:r>
              <w:t>160,517</w:t>
            </w:r>
          </w:p>
        </w:tc>
        <w:tc>
          <w:tcPr>
            <w:tcW w:type="dxa" w:w="2880"/>
          </w:tcPr>
          <w:p>
            <w:r>
              <w:t>1.199 (1.161-1.238)</w:t>
            </w:r>
          </w:p>
        </w:tc>
      </w:tr>
      <w:tr>
        <w:tc>
          <w:tcPr>
            <w:tcW w:type="dxa" w:w="2880"/>
          </w:tcPr>
          <w:p>
            <w:r>
              <w:t>Manner of collision: Multi-vehicle collision</w:t>
            </w:r>
          </w:p>
        </w:tc>
        <w:tc>
          <w:tcPr>
            <w:tcW w:type="dxa" w:w="2880"/>
          </w:tcPr>
          <w:p>
            <w:r>
              <w:t>111,415</w:t>
            </w:r>
          </w:p>
        </w:tc>
        <w:tc>
          <w:tcPr>
            <w:tcW w:type="dxa" w:w="2880"/>
          </w:tcPr>
          <w:p>
            <w:r>
              <w:t>1.113 (1.066-1.162)</w:t>
            </w:r>
          </w:p>
        </w:tc>
      </w:tr>
      <w:tr>
        <w:tc>
          <w:tcPr>
            <w:tcW w:type="dxa" w:w="2880"/>
          </w:tcPr>
          <w:p>
            <w:r>
              <w:t>Weather condition: Clear or cloudy</w:t>
            </w:r>
          </w:p>
        </w:tc>
        <w:tc>
          <w:tcPr>
            <w:tcW w:type="dxa" w:w="2880"/>
          </w:tcPr>
          <w:p>
            <w:r>
              <w:t>212,319</w:t>
            </w:r>
          </w:p>
        </w:tc>
        <w:tc>
          <w:tcPr>
            <w:tcW w:type="dxa" w:w="2880"/>
          </w:tcPr>
          <w:p>
            <w:r>
              <w:t>1.185 (1.148-1.224)</w:t>
            </w:r>
          </w:p>
        </w:tc>
      </w:tr>
      <w:tr>
        <w:tc>
          <w:tcPr>
            <w:tcW w:type="dxa" w:w="2880"/>
          </w:tcPr>
          <w:p>
            <w:r>
              <w:t>Weather condition: Adverse (rain, snow, fog, wind)</w:t>
            </w:r>
          </w:p>
        </w:tc>
        <w:tc>
          <w:tcPr>
            <w:tcW w:type="dxa" w:w="2880"/>
          </w:tcPr>
          <w:p>
            <w:r>
              <w:t>44,401</w:t>
            </w:r>
          </w:p>
        </w:tc>
        <w:tc>
          <w:tcPr>
            <w:tcW w:type="dxa" w:w="2880"/>
          </w:tcPr>
          <w:p>
            <w:r>
              <w:t>1.119 (1.054-1.188)</w:t>
            </w:r>
          </w:p>
        </w:tc>
      </w:tr>
      <w:tr>
        <w:tc>
          <w:tcPr>
            <w:tcW w:type="dxa" w:w="2880"/>
          </w:tcPr>
          <w:p>
            <w:r>
              <w:t>Land use: Rural</w:t>
            </w:r>
          </w:p>
        </w:tc>
        <w:tc>
          <w:tcPr>
            <w:tcW w:type="dxa" w:w="2880"/>
          </w:tcPr>
          <w:p>
            <w:r>
              <w:t>119,138</w:t>
            </w:r>
          </w:p>
        </w:tc>
        <w:tc>
          <w:tcPr>
            <w:tcW w:type="dxa" w:w="2880"/>
          </w:tcPr>
          <w:p>
            <w:r>
              <w:t>1.139 (1.096-1.184)</w:t>
            </w:r>
          </w:p>
        </w:tc>
      </w:tr>
      <w:tr>
        <w:tc>
          <w:tcPr>
            <w:tcW w:type="dxa" w:w="2880"/>
          </w:tcPr>
          <w:p>
            <w:r>
              <w:t>Land use: Urban</w:t>
            </w:r>
          </w:p>
        </w:tc>
        <w:tc>
          <w:tcPr>
            <w:tcW w:type="dxa" w:w="2880"/>
          </w:tcPr>
          <w:p>
            <w:r>
              <w:t>153,418</w:t>
            </w:r>
          </w:p>
        </w:tc>
        <w:tc>
          <w:tcPr>
            <w:tcW w:type="dxa" w:w="2880"/>
          </w:tcPr>
          <w:p>
            <w:r>
              <w:t>1.190 (1.150-1.232)</w:t>
            </w:r>
          </w:p>
        </w:tc>
      </w:tr>
      <w:tr>
        <w:tc>
          <w:tcPr>
            <w:tcW w:type="dxa" w:w="2880"/>
          </w:tcPr>
          <w:p>
            <w:r>
              <w:t>Driver drinking: No drinking driver</w:t>
            </w:r>
          </w:p>
        </w:tc>
        <w:tc>
          <w:tcPr>
            <w:tcW w:type="dxa" w:w="2880"/>
          </w:tcPr>
          <w:p>
            <w:r>
              <w:t>121,958</w:t>
            </w:r>
          </w:p>
        </w:tc>
        <w:tc>
          <w:tcPr>
            <w:tcW w:type="dxa" w:w="2880"/>
          </w:tcPr>
          <w:p>
            <w:r>
              <w:t>1.178 (1.133-1.224)</w:t>
            </w:r>
          </w:p>
        </w:tc>
      </w:tr>
      <w:tr>
        <w:tc>
          <w:tcPr>
            <w:tcW w:type="dxa" w:w="2880"/>
          </w:tcPr>
          <w:p>
            <w:r>
              <w:t>Driver drinking: Drinking driver involved</w:t>
            </w:r>
          </w:p>
        </w:tc>
        <w:tc>
          <w:tcPr>
            <w:tcW w:type="dxa" w:w="2880"/>
          </w:tcPr>
          <w:p>
            <w:r>
              <w:t>47,963</w:t>
            </w:r>
          </w:p>
        </w:tc>
        <w:tc>
          <w:tcPr>
            <w:tcW w:type="dxa" w:w="2880"/>
          </w:tcPr>
          <w:p>
            <w:r>
              <w:t>1.191 (1.119-1.269)</w:t>
            </w:r>
          </w:p>
        </w:tc>
      </w:tr>
    </w:tbl>
    <w:p/>
    <w:p>
      <w:pPr>
        <w:spacing w:after="120" w:line="480" w:lineRule="auto"/>
      </w:pPr>
      <w:r>
        <w:t>Sensitivity to activity, precipitation and heat-stress controls is summarized in Table 7. All added continuous terms were z-scored linear terms; state population entered as a log offset, and heat-stress metrics were expressed as anomalies relative to their day-of-year climatology. The primary full-controls model was selected by iteratively removing added controls with VIF &gt; 10; dropped variables were vmt_state (VIF=323.8); humidex_anom (VIF=63.5); heat_index_anom (VIF=24.5). A stricter VIF &lt; 5 screen and an unscreened full-controls model are also shown. Heat-stress metrics showed high collinearity with the temperature anomaly when entered individually, so they are reported separately as sensitivity analyses rather than being included simultaneously. Because crash spikes have been reported around daylight-saving-time transitions, we additionally refit the model excluding all state-days within 7 days of each US clock change; the estimate was unchanged (same-day RR 1.166 (1.136-1.197)).</w:t>
      </w:r>
    </w:p>
    <w:p>
      <w:pPr>
        <w:spacing w:before="280"/>
      </w:pPr>
      <w:r>
        <w:rPr>
          <w:b/>
        </w:rPr>
        <w:t xml:space="preserve">Table 7. </w:t>
      </w:r>
      <w:r>
        <w:t>United States sensitivity of the +9 °C anomaly association to activity, precipitation and heat-stress controls. All added continuous controls were z-scored; population entered as a log offset; heat-stress metrics were anomaly-derived. The VIF &lt; 10 row is the primary full-controls model, selected by iteratively removing added controls with VIF &gt; 10. A stricter VIF &lt; 5 screen and an unscreened model are also shown. Heat-stress metrics were tested individually because they are functions of temperature and can be collinear with the anomaly.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Model</w:t>
            </w:r>
          </w:p>
        </w:tc>
        <w:tc>
          <w:tcPr>
            <w:tcW w:type="dxa" w:w="2160"/>
          </w:tcPr>
          <w:p>
            <w:r>
              <w:rPr>
                <w:b/>
              </w:rPr>
              <w:t>Same-day RR (95% CI)</w:t>
            </w:r>
          </w:p>
        </w:tc>
        <w:tc>
          <w:tcPr>
            <w:tcW w:type="dxa" w:w="2160"/>
          </w:tcPr>
          <w:p>
            <w:r>
              <w:rPr>
                <w:b/>
              </w:rPr>
              <w:t>Cumulative RR (95% CI)</w:t>
            </w:r>
          </w:p>
        </w:tc>
        <w:tc>
          <w:tcPr>
            <w:tcW w:type="dxa" w:w="2160"/>
          </w:tcPr>
          <w:p>
            <w:r>
              <w:rPr>
                <w:b/>
              </w:rPr>
              <w:t>Max control VIF</w:t>
            </w:r>
          </w:p>
        </w:tc>
      </w:tr>
      <w:tr>
        <w:tc>
          <w:tcPr>
            <w:tcW w:type="dxa" w:w="2160"/>
          </w:tcPr>
          <w:p>
            <w:r>
              <w:t>National VMT + motor gasoline</w:t>
            </w:r>
          </w:p>
        </w:tc>
        <w:tc>
          <w:tcPr>
            <w:tcW w:type="dxa" w:w="2160"/>
          </w:tcPr>
          <w:p>
            <w:r>
              <w:t>1.163 (1.133-1.194)</w:t>
            </w:r>
          </w:p>
        </w:tc>
        <w:tc>
          <w:tcPr>
            <w:tcW w:type="dxa" w:w="2160"/>
          </w:tcPr>
          <w:p>
            <w:r>
              <w:t>1.075 (1.015-1.138)</w:t>
            </w:r>
          </w:p>
        </w:tc>
        <w:tc>
          <w:tcPr>
            <w:tcW w:type="dxa" w:w="2160"/>
          </w:tcPr>
          <w:p>
            <w:r>
              <w:t>5.3</w:t>
            </w:r>
          </w:p>
        </w:tc>
      </w:tr>
      <w:tr>
        <w:tc>
          <w:tcPr>
            <w:tcW w:type="dxa" w:w="2160"/>
          </w:tcPr>
          <w:p>
            <w:r>
              <w:t>State population offset</w:t>
            </w:r>
          </w:p>
        </w:tc>
        <w:tc>
          <w:tcPr>
            <w:tcW w:type="dxa" w:w="2160"/>
          </w:tcPr>
          <w:p>
            <w:r>
              <w:t>1.165 (1.135-1.196)</w:t>
            </w:r>
          </w:p>
        </w:tc>
        <w:tc>
          <w:tcPr>
            <w:tcW w:type="dxa" w:w="2160"/>
          </w:tcPr>
          <w:p>
            <w:r>
              <w:t>1.075 (1.015-1.138)</w:t>
            </w:r>
          </w:p>
        </w:tc>
        <w:tc>
          <w:tcPr>
            <w:tcW w:type="dxa" w:w="2160"/>
          </w:tcPr>
          <w:p>
            <w:r>
              <w:t>-</w:t>
            </w:r>
          </w:p>
        </w:tc>
      </w:tr>
      <w:tr>
        <w:tc>
          <w:tcPr>
            <w:tcW w:type="dxa" w:w="2160"/>
          </w:tcPr>
          <w:p>
            <w:r>
              <w:t>+ state annual VMT</w:t>
            </w:r>
          </w:p>
        </w:tc>
        <w:tc>
          <w:tcPr>
            <w:tcW w:type="dxa" w:w="2160"/>
          </w:tcPr>
          <w:p>
            <w:r>
              <w:t>1.165 (1.135-1.196)</w:t>
            </w:r>
          </w:p>
        </w:tc>
        <w:tc>
          <w:tcPr>
            <w:tcW w:type="dxa" w:w="2160"/>
          </w:tcPr>
          <w:p>
            <w:r>
              <w:t>1.073 (1.014-1.136)</w:t>
            </w:r>
          </w:p>
        </w:tc>
        <w:tc>
          <w:tcPr>
            <w:tcW w:type="dxa" w:w="2160"/>
          </w:tcPr>
          <w:p>
            <w:r>
              <w:t>323.8</w:t>
            </w:r>
          </w:p>
        </w:tc>
      </w:tr>
      <w:tr>
        <w:tc>
          <w:tcPr>
            <w:tcW w:type="dxa" w:w="2160"/>
          </w:tcPr>
          <w:p>
            <w:r>
              <w:t>+ state VMT + precipitation</w:t>
            </w:r>
          </w:p>
        </w:tc>
        <w:tc>
          <w:tcPr>
            <w:tcW w:type="dxa" w:w="2160"/>
          </w:tcPr>
          <w:p>
            <w:r>
              <w:t>1.165 (1.135-1.196)</w:t>
            </w:r>
          </w:p>
        </w:tc>
        <w:tc>
          <w:tcPr>
            <w:tcW w:type="dxa" w:w="2160"/>
          </w:tcPr>
          <w:p>
            <w:r>
              <w:t>1.082 (1.022-1.145)</w:t>
            </w:r>
          </w:p>
        </w:tc>
        <w:tc>
          <w:tcPr>
            <w:tcW w:type="dxa" w:w="2160"/>
          </w:tcPr>
          <w:p>
            <w:r>
              <w:t>323.8</w:t>
            </w:r>
          </w:p>
        </w:tc>
      </w:tr>
      <w:tr>
        <w:tc>
          <w:tcPr>
            <w:tcW w:type="dxa" w:w="2160"/>
          </w:tcPr>
          <w:p>
            <w:r>
              <w:t>Full controls, no VIF screen</w:t>
            </w:r>
          </w:p>
        </w:tc>
        <w:tc>
          <w:tcPr>
            <w:tcW w:type="dxa" w:w="2160"/>
          </w:tcPr>
          <w:p>
            <w:r>
              <w:t>1.070 (1.021-1.121)</w:t>
            </w:r>
          </w:p>
        </w:tc>
        <w:tc>
          <w:tcPr>
            <w:tcW w:type="dxa" w:w="2160"/>
          </w:tcPr>
          <w:p>
            <w:r>
              <w:t>1.005 (0.941-1.073)</w:t>
            </w:r>
          </w:p>
        </w:tc>
        <w:tc>
          <w:tcPr>
            <w:tcW w:type="dxa" w:w="2160"/>
          </w:tcPr>
          <w:p>
            <w:r>
              <w:t>323.8</w:t>
            </w:r>
          </w:p>
        </w:tc>
      </w:tr>
      <w:tr>
        <w:tc>
          <w:tcPr>
            <w:tcW w:type="dxa" w:w="2160"/>
          </w:tcPr>
          <w:p>
            <w:r>
              <w:t>VIF-screened full controls (VIF &lt; 10)</w:t>
            </w:r>
          </w:p>
        </w:tc>
        <w:tc>
          <w:tcPr>
            <w:tcW w:type="dxa" w:w="2160"/>
          </w:tcPr>
          <w:p>
            <w:r>
              <w:t>1.170 (1.122-1.219)</w:t>
            </w:r>
          </w:p>
        </w:tc>
        <w:tc>
          <w:tcPr>
            <w:tcW w:type="dxa" w:w="2160"/>
          </w:tcPr>
          <w:p>
            <w:r>
              <w:t>1.086 (1.019-1.157)</w:t>
            </w:r>
          </w:p>
        </w:tc>
        <w:tc>
          <w:tcPr>
            <w:tcW w:type="dxa" w:w="2160"/>
          </w:tcPr>
          <w:p>
            <w:r>
              <w:t>8.5</w:t>
            </w:r>
          </w:p>
        </w:tc>
      </w:tr>
      <w:tr>
        <w:tc>
          <w:tcPr>
            <w:tcW w:type="dxa" w:w="2160"/>
          </w:tcPr>
          <w:p>
            <w:r>
              <w:t>VIF-screened full controls (VIF &lt; 5)</w:t>
            </w:r>
          </w:p>
        </w:tc>
        <w:tc>
          <w:tcPr>
            <w:tcW w:type="dxa" w:w="2160"/>
          </w:tcPr>
          <w:p>
            <w:r>
              <w:t>1.165 (1.135-1.196)</w:t>
            </w:r>
          </w:p>
        </w:tc>
        <w:tc>
          <w:tcPr>
            <w:tcW w:type="dxa" w:w="2160"/>
          </w:tcPr>
          <w:p>
            <w:r>
              <w:t>1.083 (1.023-1.146)</w:t>
            </w:r>
          </w:p>
        </w:tc>
        <w:tc>
          <w:tcPr>
            <w:tcW w:type="dxa" w:w="2160"/>
          </w:tcPr>
          <w:p>
            <w:r>
              <w:t>1.1</w:t>
            </w:r>
          </w:p>
        </w:tc>
      </w:tr>
      <w:tr>
        <w:tc>
          <w:tcPr>
            <w:tcW w:type="dxa" w:w="2160"/>
          </w:tcPr>
          <w:p>
            <w:r>
              <w:t>+ humidex anomaly</w:t>
            </w:r>
          </w:p>
        </w:tc>
        <w:tc>
          <w:tcPr>
            <w:tcW w:type="dxa" w:w="2160"/>
          </w:tcPr>
          <w:p>
            <w:r>
              <w:t>1.176 (1.128-1.226)</w:t>
            </w:r>
          </w:p>
        </w:tc>
        <w:tc>
          <w:tcPr>
            <w:tcW w:type="dxa" w:w="2160"/>
          </w:tcPr>
          <w:p>
            <w:r>
              <w:t>1.089 (1.023-1.160)</w:t>
            </w:r>
          </w:p>
        </w:tc>
        <w:tc>
          <w:tcPr>
            <w:tcW w:type="dxa" w:w="2160"/>
          </w:tcPr>
          <w:p>
            <w:r>
              <w:t>323.8</w:t>
            </w:r>
          </w:p>
        </w:tc>
      </w:tr>
      <w:tr>
        <w:tc>
          <w:tcPr>
            <w:tcW w:type="dxa" w:w="2160"/>
          </w:tcPr>
          <w:p>
            <w:r>
              <w:t>+ heat-index anomaly</w:t>
            </w:r>
          </w:p>
        </w:tc>
        <w:tc>
          <w:tcPr>
            <w:tcW w:type="dxa" w:w="2160"/>
          </w:tcPr>
          <w:p>
            <w:r>
              <w:t>1.049 (1.002-1.097)</w:t>
            </w:r>
          </w:p>
        </w:tc>
        <w:tc>
          <w:tcPr>
            <w:tcW w:type="dxa" w:w="2160"/>
          </w:tcPr>
          <w:p>
            <w:r>
              <w:t>0.989 (0.927-1.055)</w:t>
            </w:r>
          </w:p>
        </w:tc>
        <w:tc>
          <w:tcPr>
            <w:tcW w:type="dxa" w:w="2160"/>
          </w:tcPr>
          <w:p>
            <w:r>
              <w:t>323.8</w:t>
            </w:r>
          </w:p>
        </w:tc>
      </w:tr>
      <w:tr>
        <w:tc>
          <w:tcPr>
            <w:tcW w:type="dxa" w:w="2160"/>
          </w:tcPr>
          <w:p>
            <w:r>
              <w:t>+ estimated WBGT anomaly</w:t>
            </w:r>
          </w:p>
        </w:tc>
        <w:tc>
          <w:tcPr>
            <w:tcW w:type="dxa" w:w="2160"/>
          </w:tcPr>
          <w:p>
            <w:r>
              <w:t>1.168 (1.120-1.217)</w:t>
            </w:r>
          </w:p>
        </w:tc>
        <w:tc>
          <w:tcPr>
            <w:tcW w:type="dxa" w:w="2160"/>
          </w:tcPr>
          <w:p>
            <w:r>
              <w:t>1.083 (1.017-1.154)</w:t>
            </w:r>
          </w:p>
        </w:tc>
        <w:tc>
          <w:tcPr>
            <w:tcW w:type="dxa" w:w="2160"/>
          </w:tcPr>
          <w:p>
            <w:r>
              <w:t>323.8</w:t>
            </w:r>
          </w:p>
        </w:tc>
      </w:tr>
      <w:tr>
        <w:tc>
          <w:tcPr>
            <w:tcW w:type="dxa" w:w="2160"/>
          </w:tcPr>
          <w:p>
            <w:r>
              <w:t>Excluding +/-7 d around DST transitions</w:t>
            </w:r>
          </w:p>
        </w:tc>
        <w:tc>
          <w:tcPr>
            <w:tcW w:type="dxa" w:w="2160"/>
          </w:tcPr>
          <w:p>
            <w:r>
              <w:t>1.166 (1.136-1.197)</w:t>
            </w:r>
          </w:p>
        </w:tc>
        <w:tc>
          <w:tcPr>
            <w:tcW w:type="dxa" w:w="2160"/>
          </w:tcPr>
          <w:p>
            <w:r>
              <w:t>1.072 (1.012-1.135)</w:t>
            </w:r>
          </w:p>
        </w:tc>
        <w:tc>
          <w:tcPr>
            <w:tcW w:type="dxa" w:w="2160"/>
          </w:tcPr>
          <w:p>
            <w:r>
              <w:t>-</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10); the same-day point estimate for a +9 °C anomaly was 0.940 (95% CI 0.743-1.190) and was not stable across specifications. A direct comparison of the two countries (Fig. 11) shows a precise acute effect in the US, whereas the Japanese panel—with roughly 20-fold fewer annual crash deaths and sparser temperature coverage—is underpowered.</w:t>
      </w:r>
    </w:p>
    <w:p/>
    <w:p>
      <w:pPr>
        <w:jc w:val="center"/>
      </w:pPr>
      <w:r>
        <w:drawing>
          <wp:inline xmlns:a="http://schemas.openxmlformats.org/drawingml/2006/main" xmlns:pic="http://schemas.openxmlformats.org/drawingml/2006/picture">
            <wp:extent cx="5120640" cy="3660652"/>
            <wp:docPr id="10" name="Picture 10"/>
            <wp:cNvGraphicFramePr>
              <a:graphicFrameLocks noChangeAspect="1"/>
            </wp:cNvGraphicFramePr>
            <a:graphic>
              <a:graphicData uri="http://schemas.openxmlformats.org/drawingml/2006/picture">
                <pic:pic>
                  <pic:nvPicPr>
                    <pic:cNvPr id="0" name="jp_fig2_anomaly_exposure_response.png"/>
                    <pic:cNvPicPr/>
                  </pic:nvPicPr>
                  <pic:blipFill>
                    <a:blip r:embed="rId18"/>
                    <a:stretch>
                      <a:fillRect/>
                    </a:stretch>
                  </pic:blipFill>
                  <pic:spPr>
                    <a:xfrm>
                      <a:off x="0" y="0"/>
                      <a:ext cx="5120640" cy="3660652"/>
                    </a:xfrm>
                    <a:prstGeom prst="rect"/>
                  </pic:spPr>
                </pic:pic>
              </a:graphicData>
            </a:graphic>
          </wp:inline>
        </w:drawing>
      </w:r>
    </w:p>
    <w:p>
      <w:pPr>
        <w:spacing w:before="280"/>
      </w:pPr>
      <w:r>
        <w:rPr>
          <w:b/>
        </w:rPr>
        <w:t xml:space="preserve">Figure 10. </w:t>
      </w:r>
      <w:r>
        <w:t>Japan temperature-anomaly exposure-response (2019-2024). The estimate is imprecise: the confidence band is wide and includes the null throughout.</w:t>
      </w:r>
    </w:p>
    <w:p/>
    <w:p/>
    <w:p>
      <w:pPr>
        <w:jc w:val="center"/>
      </w:pPr>
      <w:r>
        <w:drawing>
          <wp:inline xmlns:a="http://schemas.openxmlformats.org/drawingml/2006/main" xmlns:pic="http://schemas.openxmlformats.org/drawingml/2006/picture">
            <wp:extent cx="5120640" cy="3761953"/>
            <wp:docPr id="11" name="Picture 11"/>
            <wp:cNvGraphicFramePr>
              <a:graphicFrameLocks noChangeAspect="1"/>
            </wp:cNvGraphicFramePr>
            <a:graphic>
              <a:graphicData uri="http://schemas.openxmlformats.org/drawingml/2006/picture">
                <pic:pic>
                  <pic:nvPicPr>
                    <pic:cNvPr id="0" name="cross_fig_us_vs_japan_sameday.png"/>
                    <pic:cNvPicPr/>
                  </pic:nvPicPr>
                  <pic:blipFill>
                    <a:blip r:embed="rId19"/>
                    <a:stretch>
                      <a:fillRect/>
                    </a:stretch>
                  </pic:blipFill>
                  <pic:spPr>
                    <a:xfrm>
                      <a:off x="0" y="0"/>
                      <a:ext cx="5120640" cy="3761953"/>
                    </a:xfrm>
                    <a:prstGeom prst="rect"/>
                  </pic:spPr>
                </pic:pic>
              </a:graphicData>
            </a:graphic>
          </wp:inline>
        </w:drawing>
      </w:r>
    </w:p>
    <w:p>
      <w:pPr>
        <w:spacing w:before="280"/>
      </w:pPr>
      <w:r>
        <w:rPr>
          <w:b/>
        </w:rPr>
        <w:t xml:space="preserve">Figure 11. </w:t>
      </w:r>
      <w:r>
        <w:t>Same-day rate ratio of traffic-crash deaths for a +9 °C anomaly, United States versus Japan. The US shows a precise acute effect; the Japanese estimate is underpowered. This comparison is exploratory and is not adjusted for multiple comparisons.</w:t>
      </w:r>
    </w:p>
    <w:p/>
    <w:p>
      <w:pPr>
        <w:spacing w:after="120" w:line="480" w:lineRule="auto"/>
      </w:pPr>
      <w:r>
        <w:t>Within Japan, the same-day estimates were again imprecise, but their ordering descriptively mirrored the US pattern: largest for single-vehicle accidents (RR 1.133 (0.722-1.778)), intermediate for vehicle-vehicle accidents (RR 1.079 (0.731-1.594)), and below one for vehicle-pedestrian accidents (RR 0.740 (0.500-1.097)), consistent with—but far from proving—reduced pedestrian exposure on unusually hot days (Fig. 12; Table 8). Splitting prefectures at the median population density, a proxy for public-transport availability, did not separate the estimates (high-density RR 0.938 (0.696-1.264); low-density RR 0.958 (0.664-1.383)); both confidence intervals are wide and overlap, so the transit-availability hypothesis remains untestable at this sample size.</w:t>
      </w:r>
    </w:p>
    <w:p/>
    <w:p>
      <w:pPr>
        <w:jc w:val="center"/>
      </w:pPr>
      <w:r>
        <w:drawing>
          <wp:inline xmlns:a="http://schemas.openxmlformats.org/drawingml/2006/main" xmlns:pic="http://schemas.openxmlformats.org/drawingml/2006/picture">
            <wp:extent cx="5120640" cy="2964581"/>
            <wp:docPr id="12" name="Picture 12"/>
            <wp:cNvGraphicFramePr>
              <a:graphicFrameLocks noChangeAspect="1"/>
            </wp:cNvGraphicFramePr>
            <a:graphic>
              <a:graphicData uri="http://schemas.openxmlformats.org/drawingml/2006/picture">
                <pic:pic>
                  <pic:nvPicPr>
                    <pic:cNvPr id="0" name="fig_jp_strata.png"/>
                    <pic:cNvPicPr/>
                  </pic:nvPicPr>
                  <pic:blipFill>
                    <a:blip r:embed="rId20"/>
                    <a:stretch>
                      <a:fillRect/>
                    </a:stretch>
                  </pic:blipFill>
                  <pic:spPr>
                    <a:xfrm>
                      <a:off x="0" y="0"/>
                      <a:ext cx="5120640" cy="2964581"/>
                    </a:xfrm>
                    <a:prstGeom prst="rect"/>
                  </pic:spPr>
                </pic:pic>
              </a:graphicData>
            </a:graphic>
          </wp:inline>
        </w:drawing>
      </w:r>
    </w:p>
    <w:p>
      <w:pPr>
        <w:spacing w:before="280"/>
      </w:pPr>
      <w:r>
        <w:rPr>
          <w:b/>
        </w:rPr>
        <w:t xml:space="preserve">Figure 12. </w:t>
      </w:r>
      <w:r>
        <w:t>Japan same-day rate ratio of crash death for a +9 °C anomaly by accident type (single-vehicle, vehicle-vehicle, vehicle-pedestrian) and by prefecture population density (a proxy for public-transport availability, split at the median). All confidence intervals are wide and include the null; these stratified analyses are exploratory and are not adjusted for multiple comparisons.</w:t>
      </w:r>
    </w:p>
    <w:p/>
    <w:p>
      <w:pPr>
        <w:spacing w:before="280"/>
      </w:pPr>
      <w:r>
        <w:rPr>
          <w:b/>
        </w:rPr>
        <w:t xml:space="preserve">Table 8. </w:t>
      </w:r>
      <w:r>
        <w:t>Japan same-day rate ratio of crash death for a +9 °C anomaly, by accident type (NPA classification: single-vehicle, vehicle-vehicle, vehicle-pedestrian; the fatality in a vehicle-pedestrian accident is the struck pedestrian) and by prefecture population density, split at the median as a proxy for public-transport availability. All estimates are underpowered; analyses are exploratory and not adjusted for multiple comparisons.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Stratum</w:t>
            </w:r>
          </w:p>
        </w:tc>
        <w:tc>
          <w:tcPr>
            <w:tcW w:type="dxa" w:w="2880"/>
          </w:tcPr>
          <w:p>
            <w:r>
              <w:rPr>
                <w:b/>
              </w:rPr>
              <w:t>Crash deaths</w:t>
            </w:r>
          </w:p>
        </w:tc>
        <w:tc>
          <w:tcPr>
            <w:tcW w:type="dxa" w:w="2880"/>
          </w:tcPr>
          <w:p>
            <w:r>
              <w:rPr>
                <w:b/>
              </w:rPr>
              <w:t>Same-day RR (95% CI)</w:t>
            </w:r>
          </w:p>
        </w:tc>
      </w:tr>
      <w:tr>
        <w:tc>
          <w:tcPr>
            <w:tcW w:type="dxa" w:w="2880"/>
          </w:tcPr>
          <w:p>
            <w:r>
              <w:t>Accident type: Single-vehicle</w:t>
            </w:r>
          </w:p>
        </w:tc>
        <w:tc>
          <w:tcPr>
            <w:tcW w:type="dxa" w:w="2880"/>
          </w:tcPr>
          <w:p>
            <w:r>
              <w:t>3,227</w:t>
            </w:r>
          </w:p>
        </w:tc>
        <w:tc>
          <w:tcPr>
            <w:tcW w:type="dxa" w:w="2880"/>
          </w:tcPr>
          <w:p>
            <w:r>
              <w:t>1.133 (0.722-1.778)</w:t>
            </w:r>
          </w:p>
        </w:tc>
      </w:tr>
      <w:tr>
        <w:tc>
          <w:tcPr>
            <w:tcW w:type="dxa" w:w="2880"/>
          </w:tcPr>
          <w:p>
            <w:r>
              <w:t>Accident type: Vehicle-vehicle</w:t>
            </w:r>
          </w:p>
        </w:tc>
        <w:tc>
          <w:tcPr>
            <w:tcW w:type="dxa" w:w="2880"/>
          </w:tcPr>
          <w:p>
            <w:r>
              <w:t>4,280</w:t>
            </w:r>
          </w:p>
        </w:tc>
        <w:tc>
          <w:tcPr>
            <w:tcW w:type="dxa" w:w="2880"/>
          </w:tcPr>
          <w:p>
            <w:r>
              <w:t>1.079 (0.731-1.594)</w:t>
            </w:r>
          </w:p>
        </w:tc>
      </w:tr>
      <w:tr>
        <w:tc>
          <w:tcPr>
            <w:tcW w:type="dxa" w:w="2880"/>
          </w:tcPr>
          <w:p>
            <w:r>
              <w:t>Accident type: Vehicle-pedestrian</w:t>
            </w:r>
          </w:p>
        </w:tc>
        <w:tc>
          <w:tcPr>
            <w:tcW w:type="dxa" w:w="2880"/>
          </w:tcPr>
          <w:p>
            <w:r>
              <w:t>3,968</w:t>
            </w:r>
          </w:p>
        </w:tc>
        <w:tc>
          <w:tcPr>
            <w:tcW w:type="dxa" w:w="2880"/>
          </w:tcPr>
          <w:p>
            <w:r>
              <w:t>0.740 (0.500-1.097)</w:t>
            </w:r>
          </w:p>
        </w:tc>
      </w:tr>
      <w:tr>
        <w:tc>
          <w:tcPr>
            <w:tcW w:type="dxa" w:w="2880"/>
          </w:tcPr>
          <w:p>
            <w:r>
              <w:t>Prefecture density: High-density prefectures (transit-rich proxy)</w:t>
            </w:r>
          </w:p>
        </w:tc>
        <w:tc>
          <w:tcPr>
            <w:tcW w:type="dxa" w:w="2880"/>
          </w:tcPr>
          <w:p>
            <w:r>
              <w:t>7,583</w:t>
            </w:r>
          </w:p>
        </w:tc>
        <w:tc>
          <w:tcPr>
            <w:tcW w:type="dxa" w:w="2880"/>
          </w:tcPr>
          <w:p>
            <w:r>
              <w:t>0.938 (0.696-1.264)</w:t>
            </w:r>
          </w:p>
        </w:tc>
      </w:tr>
      <w:tr>
        <w:tc>
          <w:tcPr>
            <w:tcW w:type="dxa" w:w="2880"/>
          </w:tcPr>
          <w:p>
            <w:r>
              <w:t>Prefecture density: Low-density prefectures (transit-poor proxy)</w:t>
            </w:r>
          </w:p>
        </w:tc>
        <w:tc>
          <w:tcPr>
            <w:tcW w:type="dxa" w:w="2880"/>
          </w:tcPr>
          <w:p>
            <w:r>
              <w:t>4,081</w:t>
            </w:r>
          </w:p>
        </w:tc>
        <w:tc>
          <w:tcPr>
            <w:tcW w:type="dxa" w:w="2880"/>
          </w:tcPr>
          <w:p>
            <w:r>
              <w:t>0.958 (0.664-1.383)</w:t>
            </w:r>
          </w:p>
        </w:tc>
      </w:tr>
    </w:tbl>
    <w:p/>
    <w:p>
      <w:pPr>
        <w:pStyle w:val="Heading1"/>
      </w:pPr>
      <w:r>
        <w:t>Discussion</w:t>
      </w:r>
    </w:p>
    <w:p>
      <w:pPr>
        <w:spacing w:after="120" w:line="480" w:lineRule="auto"/>
      </w:pPr>
      <w:r>
        <w:t>A +9 °C temperature anomaly was associated with a same-day rate ratio of 1.165 (95% CI 1.135-1.196) for US traffic-crash deaths, and the net annual heat-attributable burden was 528 deaths (95% CI 425-631), similar to the 527 officially recorded direct-heat deaths per year. This acute, same-day excess was not explained by aggregate driving activity, and it remained in the VIF-screened full-controls model (added controls iteratively removed when VIF &gt; 10, retaining log-population offset, daily precipitation and estimated WBGT anomaly; dropped: vmt_state, humidex_anom, heat_index_anom), RR 1.170 (1.122-1.219)). The cumulative 0-10 day RR in that model was attenuated (RR 1.086 (1.019-1.157)).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4,5</w:t>
      </w:r>
    </w:p>
    <w:p>
      <w:pPr>
        <w:spacing w:after="120" w:line="480" w:lineRule="auto"/>
      </w:pPr>
      <w:r>
        <w:t>Two features of the data are not readily explained by overall driving volume alone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 crash-circumstance strata point the same way: the excess was larger for single-vehicle crashes than for multi-vehicle collisions, persisted on clear days, and was similar whether or not a driver was reported to have been drinking. The Japanese strata, although very imprecise, point the same way: the single-vehicle estimate was again the largest and the vehicle-pedestrian point estimate fell below one, the ordering expected if hot days both degrade vehicle control and reduce pedestrian exposure.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e-bike and public bikeshare users are directly exposed open-air riders, and unshaded docking and charging points add thermal load during check-out and parking, so operators could integrate heat warnings into app-based routing and consider shade for docking infrastructure. Linking shared-mobility heat alerts with public transit and cooled shelter maps would help preserve access for users who depend on these modes, particularly in low-income neighbourhoods where private air-conditioned transport is less available. The Japanese data also raise the possibility of modal substitution: where cooled public transit offers an alternative, unusually hot days may suppress walking and riding rather than generate excess crash deaths. In the US, where such alternatives are limited, safe transit options could plausibly prevent part of the heat-associated burden; our prefecture-density split was too imprecise to test this and the hypothesis remains open.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heat effect or other heat-related mechanisms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police-reported drinking is incompletely ascertained in FARS, so similar estimates with and without a reported drinking driver do not fully exclude an alcohol-related contribution. Eighth,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Ninth, the findings are drawn from the United States and Japan because, among high-income countries with comparably robust road-crash and meteorological data collection, no other country currently provides a fully open, daily, individual-level crash record equivalent to FARS or the Japanese NPA open data; the EU CARE database contains detailed individual accident records but is not publicly available at the daily individual level, and national open road-safety datasets in Europe are not harmonised, so the United States and Japan represent the best available public sources for this study design.</w:t>
      </w:r>
      <w:r>
        <w:rPr>
          <w:vertAlign w:val="superscript"/>
        </w:rPr>
        <w:t>17</w:t>
      </w:r>
      <w:r>
        <w:t xml:space="preserve">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Contributors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Declaration of 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Declaration of generative AI use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et al. Mortality risk attributable to high and low ambient temperature: a multicountry observational study. Lancet 2015;386:369-75.</w:t>
      </w:r>
    </w:p>
    <w:p>
      <w:pPr>
        <w:spacing w:after="80"/>
      </w:pPr>
      <w:r>
        <w:t>2. Basu R. High ambient temperature and mortality: a review of epidemiologic studies from 2001 to 2008. Environ Health 2009;8:40.</w:t>
      </w:r>
    </w:p>
    <w:p>
      <w:pPr>
        <w:spacing w:after="80"/>
      </w:pPr>
      <w:r>
        <w:t>3. Daanen HAM, van de Vliert E, Huang X. Driving performance in cold, warm, and thermoneutral environments. Appl Ergon 2003;34:597-602.</w:t>
      </w:r>
    </w:p>
    <w:p>
      <w:pPr>
        <w:spacing w:after="80"/>
      </w:pPr>
      <w:r>
        <w:t>4. Liang M, Min M, Guo X, Song Q, Wang H, Li N, et al. The relationship between ambient temperatures and road traffic injuries: a systematic review and meta-analysis. Environ Sci Pollut Res 2022;29(33):50647-60.</w:t>
      </w:r>
    </w:p>
    <w:p>
      <w:pPr>
        <w:spacing w:after="80"/>
      </w:pPr>
      <w:r>
        <w:t>5. Liang M, Zhao D, Wu Y, Ye P, Wang Y, Yao Z, et al. Short-term effects of ambient temperature and road traffic accident injuries in Dalian, Northern China: A distributed lag non-linear analysis. Accid Anal Prev 2021;153:106057.</w:t>
      </w:r>
    </w:p>
    <w:p>
      <w:pPr>
        <w:spacing w:after="80"/>
      </w:pPr>
      <w:r>
        <w:t>6. National Highway Traffic Safety Administration. Fatality Analysis Reporting System (FARS). US Department of Transportation. https://www.nhtsa.gov/research-data/fatality-analysis-reporting-system-fars</w:t>
      </w:r>
    </w:p>
    <w:p>
      <w:pPr>
        <w:spacing w:after="80"/>
      </w:pPr>
      <w:r>
        <w:t>7. National Police Agency of Japan. Traffic accident statistics open data. https://www.npa.go.jp/publications/statistics/koutsuu/opendata/</w:t>
      </w:r>
    </w:p>
    <w:p>
      <w:pPr>
        <w:spacing w:after="80"/>
      </w:pPr>
      <w:r>
        <w:t>8. Menne MJ, Durre I, Vose RS, Gleason BE, Houston TG. An overview of the Global Historical Climatology Network-Daily database. J Atmos Ocean Technol 2012;29:897-910.</w:t>
      </w:r>
    </w:p>
    <w:p>
      <w:pPr>
        <w:spacing w:after="80"/>
      </w:pPr>
      <w:r>
        <w:t>9. Gasparrini A, Armstrong B, Kenward MG. Distributed lag non-linear models. Stat Med 2010;29:2224-34.</w:t>
      </w:r>
    </w:p>
    <w:p>
      <w:pPr>
        <w:spacing w:after="80"/>
      </w:pPr>
      <w:r>
        <w:t>10. Gasparrini A, Leone M. Attributable risk from distributed lag models. BMC Med Res Methodol 2014;14:55.</w:t>
      </w:r>
    </w:p>
    <w:p>
      <w:pPr>
        <w:spacing w:after="80"/>
      </w:pPr>
      <w:r>
        <w:t>11. Federal Highway Administration. Traffic Volume Trends. https://www.fhwa.dot.gov/policyinformation/travel_monitoring/tvt.cfm</w:t>
      </w:r>
    </w:p>
    <w:p>
      <w:pPr>
        <w:spacing w:after="80"/>
      </w:pPr>
      <w:r>
        <w:t>12. US Energy Information Administration. Weekly finished motor gasoline product supplied (PET.WGFUPUS2.W). https://www.eia.gov/</w:t>
      </w:r>
    </w:p>
    <w:p>
      <w:pPr>
        <w:spacing w:after="80"/>
      </w:pPr>
      <w:r>
        <w:t>13. US Census Bureau. Population Estimates Program. Annual state population estimates. https://www.census.gov/programs-surveys/popest.html</w:t>
      </w:r>
    </w:p>
    <w:p>
      <w:pPr>
        <w:spacing w:after="80"/>
      </w:pPr>
      <w:r>
        <w:t>14. Federal Highway Administration. Highway Statistics VM-2: Annual state vehicle-miles travelled. https://www.fhwa.dot.gov/policyinformation/statistics.cfm</w:t>
      </w:r>
    </w:p>
    <w:p>
      <w:pPr>
        <w:spacing w:after="80"/>
      </w:pPr>
      <w:r>
        <w:t>15. Centers for Disease Control and Prevention. CDC WONDER Underlying Cause of Death database. https://wonder.cdc.gov/</w:t>
      </w:r>
    </w:p>
    <w:p>
      <w:pPr>
        <w:spacing w:after="80"/>
      </w:pPr>
      <w:r>
        <w:t>16. IPCC. Climate Change 2021: The Physical Science Basis. Contribution of Working Group I to the Sixth Assessment Report of the Intergovernmental Panel on Climate Change. Cambridge: Cambridge University Press; 2021.</w:t>
      </w:r>
    </w:p>
    <w:p>
      <w:pPr>
        <w:spacing w:after="80"/>
      </w:pPr>
      <w:r>
        <w:t>17. European Commission, Directorate-General for Mobility and Transport. Community database on road accidents (CARE). https://road-safety.transport.ec.europa.eu/european-road-safety-observatory/methodology-and-research/care-database_en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