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 From Maritime Isolation to Technological Access Denial in the Long Run of History</w:t>
      </w:r>
    </w:p>
    <w:p/>
    <w:p>
      <w:pPr>
        <w:jc w:val="center"/>
      </w:pPr>
      <w:r>
        <w:rPr>
          <w:i/>
        </w:rPr>
        <w:t>[Author Name]</w:t>
      </w:r>
    </w:p>
    <w:p/>
    <w:p>
      <w:pPr>
        <w:jc w:val="center"/>
      </w:pPr>
      <w:r>
        <w:rPr>
          <w:i/>
        </w:rPr>
        <w:t>[Affiliation]</w:t>
      </w:r>
    </w:p>
    <w:p/>
    <w:p/>
    <w:p>
      <w:r>
        <w:rPr>
          <w:b/>
          <w:sz w:val="24"/>
        </w:rPr>
        <w:t>Abstract</w:t>
      </w:r>
    </w:p>
    <w:p>
      <w:pPr>
        <w:ind w:firstLine="0"/>
      </w:pPr>
      <w: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w:t>
      </w:r>
    </w:p>
    <w:p/>
    <w:p>
      <w:r>
        <w:rPr>
          <w:b/>
        </w:rPr>
        <w:t xml:space="preserve">Keywords: </w:t>
      </w:r>
      <w:r>
        <w:t>network exclusion, economic history, technology flow disruption, state collapse, technological access, sensitivity analysis</w:t>
      </w:r>
    </w:p>
    <w:p>
      <w:r>
        <w:rPr>
          <w:b/>
        </w:rPr>
        <w:t xml:space="preserve">JEL Classification: </w:t>
      </w:r>
      <w:r>
        <w:t>N40, N70, F50, O33, C12</w:t>
      </w:r>
    </w:p>
    <w:p>
      <w:r>
        <w:br w:type="page"/>
      </w:r>
    </w:p>
    <w:p>
      <w:pPr>
        <w:pStyle w:val="Heading1"/>
      </w:pPr>
      <w:r>
        <w:t>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w:t>
      </w:r>
    </w:p>
    <w:p>
      <w:r>
        <w:t>The existing literature offers two broad explanations for why states fail. One emphasizes internal dynamics: Tainter (1988) argued that complex societies collapse when the marginal returns to increasing complexity decline, and Acemoglu and Robinson (2012) showed that extractive institutions—those that concentrate power and discourage innovation—undermine long-run prosperity. The other emphasizes external connectivity: trade openness, technology diffusion, and the consequences of isolation (Findlay and O'Rourke, 2007; Mokyr, 2002). Our contribution lies at the intersection. We argue that disconnection from the dominant exchange network is an upstream cause that erodes both institutional quality and technological capacity—the very factors that the internal-dynamics literature identifies as proximate causes of collapse.</w:t>
      </w:r>
    </w:p>
    <w:p>
      <w:r>
        <w:t>The literature on trade and isolation has overwhelmingly focused on deliberate closure: the maritime prohibitions (haijin) of Ming China, the sakoku decree of Tokugawa Japan, the autarkic blocs of the Cold War. Deliberate closure is analytically convenient because it represents a policy choice with an identifiable agent. Yet this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the dominant exchange networks of their era did not reach them.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three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took the form of geographic exclusion from sea routes, but the underlying mechanism generalizes across eras. Third, we conduct a systematic sensitivity analysis in which seven technically excluded polities are reclassified from 'no closure' to 'technical network exclusion,' testing whether the closure–conquest association is an artifact of how isolation is defined.</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data describes the dataset and classification framework. Section methods presents the analytical methods, including four causal identification strategies (instrumental variables, propensity score matching, natural experiment framing, and robustness checks). Section 4 reports the baseline results. Section 5 details the sensitivity analysis. Section 6 presents the causal identification results. Section 7 discusses implications, including the extension to technological access exclusion, and Section 8 concludes.</w:t>
      </w:r>
    </w:p>
    <w:p>
      <w:pPr>
        <w:pStyle w:val="Heading1"/>
      </w:pPr>
      <w:r>
        <w:t>Data and Classification</w:t>
      </w:r>
    </w:p>
    <w:p>
      <w:pPr>
        <w:pStyle w:val="Heading2"/>
      </w:pPr>
      <w:r>
        <w:t>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methods-binarization).</w:t>
      </w:r>
    </w:p>
    <w:p>
      <w:pPr>
        <w:pStyle w:val="Heading2"/>
      </w:pPr>
      <w:r>
        <w:t>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network exclusion—involuntary isolation from the dominant exchange network of the era due to geographic or technological constraints (not limited to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Technical network exclusion: definition and candidates</w:t>
      </w:r>
    </w:p>
    <w:p>
      <w:r>
        <w:t>We define technical network exclusion as the condition in which a polity was structurally disconnected from the dominant exchange network of its era—whether maritime, overland, or otherwise—due to geographic or technological constraints rather than policy choice. In the maritime age, this typically meant the absence of regular sea routes; for inland polities along the Silk Road, it meant that while some goods traveled overland, the volume and variety of technology transfer fell far short of what maritime-connected polities received. The key distinction from policy-based closure is the absence of agency: these polities did not choose isolation. The transport and communication infrastructure of their era had not yet extended effective connectivity to their region.</w:t>
      </w:r>
    </w:p>
    <w:p>
      <w:r>
        <w:t>We identify seven reclassification candidates in two tiers (Table 1).</w:t>
      </w:r>
    </w:p>
    <w:p>
      <w:pPr>
        <w:spacing w:before="240"/>
      </w:pPr>
      <w:r>
        <w:rPr>
          <w:b/>
        </w:rPr>
        <w:t xml:space="preserve">Table 1. </w:t>
      </w:r>
      <w:r>
        <w:t>Technical network exclusion reclassification candidates. 'Strong' candidates were structurally excluded from the dominant exchange network of their era; 'Moderate' candidates had limited or uncertain connectivity.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Polity</w:t>
            </w:r>
          </w:p>
        </w:tc>
        <w:tc>
          <w:tcPr>
            <w:tcW w:type="dxa" w:w="2160"/>
          </w:tcPr>
          <w:p>
            <w:r>
              <w:rPr>
                <w:b/>
                <w:sz w:val="20"/>
              </w:rPr>
              <w:t>Period</w:t>
            </w:r>
          </w:p>
        </w:tc>
        <w:tc>
          <w:tcPr>
            <w:tcW w:type="dxa" w:w="2160"/>
          </w:tcPr>
          <w:p>
            <w:r>
              <w:rPr>
                <w:b/>
                <w:sz w:val="20"/>
              </w:rPr>
              <w:t>Tier</w:t>
            </w:r>
          </w:p>
        </w:tc>
        <w:tc>
          <w:tcPr>
            <w:tcW w:type="dxa" w:w="2160"/>
          </w:tcPr>
          <w:p>
            <w:r>
              <w:rPr>
                <w:b/>
                <w:sz w:val="20"/>
              </w:rPr>
              <w:t>Rationale</w:t>
            </w:r>
          </w:p>
        </w:tc>
      </w:tr>
      <w:tr>
        <w:tc>
          <w:tcPr>
            <w:tcW w:type="dxa" w:w="2160"/>
          </w:tcPr>
          <w:p>
            <w:r>
              <w:rPr>
                <w:sz w:val="20"/>
              </w:rPr>
              <w:t>Han Dynasty (China)</w:t>
            </w:r>
          </w:p>
        </w:tc>
        <w:tc>
          <w:tcPr>
            <w:tcW w:type="dxa" w:w="2160"/>
          </w:tcPr>
          <w:p>
            <w:r>
              <w:rPr>
                <w:sz w:val="20"/>
              </w:rPr>
              <w:t>BC206-AD220</w:t>
            </w:r>
          </w:p>
        </w:tc>
        <w:tc>
          <w:tcPr>
            <w:tcW w:type="dxa" w:w="2160"/>
          </w:tcPr>
          <w:p>
            <w:r>
              <w:rPr>
                <w:sz w:val="20"/>
              </w:rPr>
              <w:t>Strong</w:t>
            </w:r>
          </w:p>
        </w:tc>
        <w:tc>
          <w:tcPr>
            <w:tcW w:type="dxa" w:w="2160"/>
          </w:tcPr>
          <w:p>
            <w:r>
              <w:rPr>
                <w:sz w:val="20"/>
              </w:rPr>
              <w:t>Excluded from Mediterranean network; Silk Road provided limited overland contact only.</w:t>
            </w:r>
          </w:p>
        </w:tc>
      </w:tr>
      <w:tr>
        <w:tc>
          <w:tcPr>
            <w:tcW w:type="dxa" w:w="2160"/>
          </w:tcPr>
          <w:p>
            <w:r>
              <w:rPr>
                <w:sz w:val="20"/>
              </w:rPr>
              <w:t>Mali Empire</w:t>
            </w:r>
          </w:p>
        </w:tc>
        <w:tc>
          <w:tcPr>
            <w:tcW w:type="dxa" w:w="2160"/>
          </w:tcPr>
          <w:p>
            <w:r>
              <w:rPr>
                <w:sz w:val="20"/>
              </w:rPr>
              <w:t>AD1235-AD1600</w:t>
            </w:r>
          </w:p>
        </w:tc>
        <w:tc>
          <w:tcPr>
            <w:tcW w:type="dxa" w:w="2160"/>
          </w:tcPr>
          <w:p>
            <w:r>
              <w:rPr>
                <w:sz w:val="20"/>
              </w:rPr>
              <w:t>Strong</w:t>
            </w:r>
          </w:p>
        </w:tc>
        <w:tc>
          <w:tcPr>
            <w:tcW w:type="dxa" w:w="2160"/>
          </w:tcPr>
          <w:p>
            <w:r>
              <w:rPr>
                <w:sz w:val="20"/>
              </w:rPr>
              <w:t>Excluded from Atlantic/Mediterranean networks until Portuguese contact (15th c.). Trans-Saharan caravan only.</w:t>
            </w:r>
          </w:p>
        </w:tc>
      </w:tr>
      <w:tr>
        <w:tc>
          <w:tcPr>
            <w:tcW w:type="dxa" w:w="2160"/>
          </w:tcPr>
          <w:p>
            <w:r>
              <w:rPr>
                <w:sz w:val="20"/>
              </w:rPr>
              <w:t>Khmer Empire (Angkor)</w:t>
            </w:r>
          </w:p>
        </w:tc>
        <w:tc>
          <w:tcPr>
            <w:tcW w:type="dxa" w:w="2160"/>
          </w:tcPr>
          <w:p>
            <w:r>
              <w:rPr>
                <w:sz w:val="20"/>
              </w:rPr>
              <w:t>AD802-AD1431</w:t>
            </w:r>
          </w:p>
        </w:tc>
        <w:tc>
          <w:tcPr>
            <w:tcW w:type="dxa" w:w="2160"/>
          </w:tcPr>
          <w:p>
            <w:r>
              <w:rPr>
                <w:sz w:val="20"/>
              </w:rPr>
              <w:t>Strong</w:t>
            </w:r>
          </w:p>
        </w:tc>
        <w:tc>
          <w:tcPr>
            <w:tcW w:type="dxa" w:w="2160"/>
          </w:tcPr>
          <w:p>
            <w:r>
              <w:rPr>
                <w:sz w:val="20"/>
              </w:rPr>
              <w:t>Inland polity; excluded from dominant exchange networks unlike neighbouring Srivijaya.</w:t>
            </w:r>
          </w:p>
        </w:tc>
      </w:tr>
      <w:tr>
        <w:tc>
          <w:tcPr>
            <w:tcW w:type="dxa" w:w="2160"/>
          </w:tcPr>
          <w:p>
            <w:r>
              <w:rPr>
                <w:sz w:val="20"/>
              </w:rPr>
              <w:t>Kievan Rus'</w:t>
            </w:r>
          </w:p>
        </w:tc>
        <w:tc>
          <w:tcPr>
            <w:tcW w:type="dxa" w:w="2160"/>
          </w:tcPr>
          <w:p>
            <w:r>
              <w:rPr>
                <w:sz w:val="20"/>
              </w:rPr>
              <w:t>AD882-AD1240</w:t>
            </w:r>
          </w:p>
        </w:tc>
        <w:tc>
          <w:tcPr>
            <w:tcW w:type="dxa" w:w="2160"/>
          </w:tcPr>
          <w:p>
            <w:r>
              <w:rPr>
                <w:sz w:val="20"/>
              </w:rPr>
              <w:t>Strong</w:t>
            </w:r>
          </w:p>
        </w:tc>
        <w:tc>
          <w:tcPr>
            <w:tcW w:type="dxa" w:w="2160"/>
          </w:tcPr>
          <w:p>
            <w:r>
              <w:rPr>
                <w:sz w:val="20"/>
              </w:rPr>
              <w:t>Dnieper river trade (Varangian route) only; excluded from dominant exchange networks.</w:t>
            </w:r>
          </w:p>
        </w:tc>
      </w:tr>
      <w:tr>
        <w:tc>
          <w:tcPr>
            <w:tcW w:type="dxa" w:w="2160"/>
          </w:tcPr>
          <w:p>
            <w:r>
              <w:rPr>
                <w:sz w:val="20"/>
              </w:rPr>
              <w:t>Timurid Empire</w:t>
            </w:r>
          </w:p>
        </w:tc>
        <w:tc>
          <w:tcPr>
            <w:tcW w:type="dxa" w:w="2160"/>
          </w:tcPr>
          <w:p>
            <w:r>
              <w:rPr>
                <w:sz w:val="20"/>
              </w:rPr>
              <w:t>AD1370-AD1507</w:t>
            </w:r>
          </w:p>
        </w:tc>
        <w:tc>
          <w:tcPr>
            <w:tcW w:type="dxa" w:w="2160"/>
          </w:tcPr>
          <w:p>
            <w:r>
              <w:rPr>
                <w:sz w:val="20"/>
              </w:rPr>
              <w:t>Strong</w:t>
            </w:r>
          </w:p>
        </w:tc>
        <w:tc>
          <w:tcPr>
            <w:tcW w:type="dxa" w:w="2160"/>
          </w:tcPr>
          <w:p>
            <w:r>
              <w:rPr>
                <w:sz w:val="20"/>
              </w:rPr>
              <w:t>Landlocked; Silk Road overland only. Excluded from dominant Mediterranean and Indian Ocean networks.</w:t>
            </w:r>
          </w:p>
        </w:tc>
      </w:tr>
      <w:tr>
        <w:tc>
          <w:tcPr>
            <w:tcW w:type="dxa" w:w="2160"/>
          </w:tcPr>
          <w:p>
            <w:r>
              <w:rPr>
                <w:sz w:val="20"/>
              </w:rPr>
              <w:t>Sasanian Persia</w:t>
            </w:r>
          </w:p>
        </w:tc>
        <w:tc>
          <w:tcPr>
            <w:tcW w:type="dxa" w:w="2160"/>
          </w:tcPr>
          <w:p>
            <w:r>
              <w:rPr>
                <w:sz w:val="20"/>
              </w:rPr>
              <w:t>AD224-AD651</w:t>
            </w:r>
          </w:p>
        </w:tc>
        <w:tc>
          <w:tcPr>
            <w:tcW w:type="dxa" w:w="2160"/>
          </w:tcPr>
          <w:p>
            <w:r>
              <w:rPr>
                <w:sz w:val="20"/>
              </w:rPr>
              <w:t>Moderate</w:t>
            </w:r>
          </w:p>
        </w:tc>
        <w:tc>
          <w:tcPr>
            <w:tcW w:type="dxa" w:w="2160"/>
          </w:tcPr>
          <w:p>
            <w:r>
              <w:rPr>
                <w:sz w:val="20"/>
              </w:rPr>
              <w:t>Limited Persian Gulf trade; excluded from established Indian Ocean and Mediterranean networks.</w:t>
            </w:r>
          </w:p>
        </w:tc>
      </w:tr>
      <w:tr>
        <w:tc>
          <w:tcPr>
            <w:tcW w:type="dxa" w:w="2160"/>
          </w:tcPr>
          <w:p>
            <w:r>
              <w:rPr>
                <w:sz w:val="20"/>
              </w:rPr>
              <w:t>Konbaung Burma</w:t>
            </w:r>
          </w:p>
        </w:tc>
        <w:tc>
          <w:tcPr>
            <w:tcW w:type="dxa" w:w="2160"/>
          </w:tcPr>
          <w:p>
            <w:r>
              <w:rPr>
                <w:sz w:val="20"/>
              </w:rPr>
              <w:t>AD1752-AD1885</w:t>
            </w:r>
          </w:p>
        </w:tc>
        <w:tc>
          <w:tcPr>
            <w:tcW w:type="dxa" w:w="2160"/>
          </w:tcPr>
          <w:p>
            <w:r>
              <w:rPr>
                <w:sz w:val="20"/>
              </w:rPr>
              <w:t>Moderate</w:t>
            </w:r>
          </w:p>
        </w:tc>
        <w:tc>
          <w:tcPr>
            <w:tcW w:type="dxa" w:w="2160"/>
          </w:tcPr>
          <w:p>
            <w:r>
              <w:rPr>
                <w:sz w:val="20"/>
              </w:rPr>
              <w:t>Coastal access existed but excluded from regular international exchange networks until British arrival.</w:t>
            </w:r>
          </w:p>
        </w:tc>
      </w:tr>
    </w:tbl>
    <w:p/>
    <w:p>
      <w:pPr>
        <w:pStyle w:val="Heading1"/>
      </w:pPr>
      <w:r>
        <w:t>Methods</w:t>
      </w:r>
    </w:p>
    <w:p>
      <w:pPr>
        <w:pStyle w:val="Heading2"/>
      </w:pPr>
      <w:r>
        <w:t>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overtaken' scenario, all 18 are coded as conquered (yielding 64 conquered, 32 survived); in the 'disrupted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Stock–flow association</w:t>
      </w:r>
    </w:p>
    <w:p>
      <w:r>
        <w:t>We construct 2 × 2 tables crossing the predominant resource base (stock vs.\ flow) against the binarized outcome (overtaken vs.\ survived) and compute the odds ratio (OR), phi coefficient (), one-sided Fisher's exact test, and chi-squared test with Yates correction. Effect sizes are interpreted using Cohen's benchmarks for .</w:t>
      </w:r>
    </w:p>
    <w:p>
      <w:pPr>
        <w:pStyle w:val="Heading2"/>
      </w:pPr>
      <w:r>
        <w:t>Closure–conquest association</w:t>
      </w:r>
    </w:p>
    <w:p>
      <w:r>
        <w:t>For each of the six scenarios, we construct a 2 × 2 table crossing closure status (network closure vs.\ open) against the binarized outcome. The 'network closure' group includes polities coded as maritime ban, sakoku, or technical network exclusion. We compute one-sided Fisher's exact tests evaluating whether closure is associated with elevated conquest rates, and report relative risks alongside p-values.</w:t>
      </w:r>
    </w:p>
    <w:p>
      <w:pPr>
        <w:pStyle w:val="Heading2"/>
      </w:pPr>
      <w:r>
        <w:t>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network closure indicator. We report exponentiated coefficients (odds ratios) with 95% confidence intervals.</w:t>
      </w:r>
    </w:p>
    <w:p>
      <w:pPr>
        <w:pStyle w:val="Heading2"/>
      </w:pPr>
      <w:r>
        <w:t>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2"/>
      </w:pPr>
      <w:r>
        <w:t>Causal identification strategies</w:t>
      </w:r>
    </w:p>
    <w:p>
      <w:r>
        <w:t>Observational data on historical polities cannot support randomized assignment of network closure. We therefore employ four complementary strategies to probe the robustness of the closure–conquest association to confounding and to move beyond purely correlational evidence.</w:t>
      </w:r>
    </w:p>
    <w:p>
      <w:r>
        <w:rPr>
          <w:b/>
        </w:rPr>
        <w:t xml:space="preserve">Instrumental variables (2SLS).. </w:t>
      </w:r>
    </w:p>
    <w:p>
      <w:r>
        <w:t>We instrument the closure indicator with the geographic barrier index, which captures natural defensibility (mountains, deserts, island geography) and plausibly affects state survival only through its influence on network accessibility, conditional on external threat, technological position, institutional quality, and era (Angrist et al., 1996). We report first-stage F-statistics and apply the Staiger and Stock (1997) threshold (F &gt; 10) for weak-instrument diagnosis. We estimate two-stage least squares (2SLS) with heteroskedasticity-robust standard errors and compare the IV estimate with the ordinary least squares (OLS) benchmark.</w:t>
      </w:r>
    </w:p>
    <w:p>
      <w:r>
        <w:rPr>
          <w:b/>
        </w:rPr>
        <w:t xml:space="preserve">Propensity score matching (PSM).. </w:t>
      </w:r>
    </w:p>
    <w:p>
      <w:r>
        <w:t>We estimate the propensity for network closure using logistic regression on geographic barrier, external threat, technological position, institutional quality, era, and relative population (Rosenbaum and Rubin, 1983). We then perform nearest-neighbour matching on the logit of the propensity score with a caliper of 0.2 standard deviations. The average treatment effect on the treated (ATT) is estimated from the matched sample, with bootstrap standard errors (2,000 resamples). Covariate balance is assessed via standardised mean differences before and after matching.</w:t>
      </w:r>
    </w:p>
    <w:p>
      <w:r>
        <w:rPr>
          <w:b/>
        </w:rPr>
        <w:t xml:space="preserve">Natural experiment framing.. </w:t>
      </w:r>
    </w:p>
    <w:p>
      <w:r>
        <w:t>The seven technically excluded polities were disconnected from the dominant exchange network not by policy choice but by geographic and technological constraints—a form of quasi-exogenous treatment assignment. We compare conquest rates across three ordered groups (open, policy-closed, technically excluded), test the dose–response gradient using the Cochran–Armitage trend test, and assess covariate balance between technically excluded and open polities using Mann–Whitney U tests.</w:t>
      </w:r>
    </w:p>
    <w:p>
      <w:r>
        <w:rPr>
          <w:b/>
        </w:rPr>
        <w:t xml:space="preserve">Robustness battery.. </w:t>
      </w:r>
    </w:p>
    <w:p>
      <w:r>
        <w:t>We compute E-values (VanderWeele and Ding, 2017) for the stock–flow OR to quantify the strength of unmeasured confounding required to explain the observed association. We conduct permutation tests (10,000 random reassignments of the exposure), leave-one-out sensitivity analysis, alternative outcome definitions (disrupted overtaken vs.\ disrupted survived), bootstrap 95% CIs (5,000 resamples), and variance inflation factor (VIF) diagnostics.</w:t>
      </w:r>
    </w:p>
    <w:p>
      <w:pPr>
        <w:pStyle w:val="Heading1"/>
      </w:pPr>
      <w:r>
        <w:t>Results</w:t>
      </w:r>
    </w:p>
    <w:p>
      <w:pPr>
        <w:pStyle w:val="Heading2"/>
      </w:pPr>
      <w:r>
        <w:t>Baseline stock–flow association</w:t>
      </w:r>
    </w:p>
    <w:p>
      <w:r>
        <w:t>Under the disrupted overtaken assignment, the stock–flow 2 × 2 table yields OR = 1.774, = 0.133, Fisher's exact p = 0.1390 (one-sided). Stock-oriented polities have a conquest rate of 73.3%, compared with 60.8% for flow-oriented polities—a small-to-medium effect by Cohen's benchmarks. Under the disrupted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Network closure and conquest</w:t>
      </w:r>
    </w:p>
    <w:p>
      <w:r>
        <w:t>Table 2 reports the closure–conquest association across all six scenarios. At baseline under the disrupted overtaken assignment, polities with some form of network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p>
      <w:pPr>
        <w:spacing w:before="240"/>
      </w:pPr>
      <w:r>
        <w:rPr>
          <w:b/>
        </w:rPr>
        <w:t xml:space="preserve">Table 2. </w:t>
      </w:r>
      <w:r>
        <w:t>Network closure and conquest across six scenarios. $^{*</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Disrupted As</w:t>
            </w:r>
          </w:p>
        </w:tc>
        <w:tc>
          <w:tcPr>
            <w:tcW w:type="dxa" w:w="1080"/>
          </w:tcPr>
          <w:p>
            <w:r>
              <w:rPr>
                <w:b/>
                <w:sz w:val="20"/>
              </w:rPr>
              <w:t>Reclassification</w:t>
            </w:r>
          </w:p>
        </w:tc>
        <w:tc>
          <w:tcPr>
            <w:tcW w:type="dxa" w:w="1080"/>
          </w:tcPr>
          <w:p>
            <w:r>
              <w:rPr>
                <w:b/>
                <w:sz w:val="20"/>
              </w:rPr>
              <w:t>Closure n</w:t>
            </w:r>
          </w:p>
        </w:tc>
        <w:tc>
          <w:tcPr>
            <w:tcW w:type="dxa" w:w="1080"/>
          </w:tcPr>
          <w:p>
            <w:r>
              <w:rPr>
                <w:b/>
                <w:sz w:val="20"/>
              </w:rPr>
              <w:t>Closure Rate</w:t>
            </w:r>
          </w:p>
        </w:tc>
        <w:tc>
          <w:tcPr>
            <w:tcW w:type="dxa" w:w="1080"/>
          </w:tcPr>
          <w:p>
            <w:r>
              <w:rPr>
                <w:b/>
                <w:sz w:val="20"/>
              </w:rPr>
              <w:t>Open Rate</w:t>
            </w:r>
          </w:p>
        </w:tc>
        <w:tc>
          <w:tcPr>
            <w:tcW w:type="dxa" w:w="1080"/>
          </w:tcPr>
          <w:p>
            <w:r>
              <w:rPr>
                <w:b/>
                <w:sz w:val="20"/>
              </w:rPr>
              <w:t>RR</w:t>
            </w:r>
          </w:p>
        </w:tc>
        <w:tc>
          <w:tcPr>
            <w:tcW w:type="dxa" w:w="1080"/>
          </w:tcPr>
          <w:p>
            <w:r>
              <w:rPr>
                <w:b/>
                <w:sz w:val="20"/>
              </w:rPr>
              <w:t>Fisher p</w:t>
            </w:r>
          </w:p>
        </w:tc>
        <w:tc>
          <w:tcPr>
            <w:tcW w:type="dxa" w:w="1080"/>
          </w:tcPr>
          <w:p>
            <w:r>
              <w:rPr>
                <w:b/>
                <w:sz w:val="20"/>
              </w:rPr>
              <w:t>Sig.</w:t>
            </w:r>
          </w:p>
        </w:tc>
      </w:tr>
      <w:tr>
        <w:tc>
          <w:tcPr>
            <w:tcW w:type="dxa" w:w="1080"/>
          </w:tcPr>
          <w:p>
            <w:r>
              <w:rPr>
                <w:sz w:val="20"/>
              </w:rPr>
              <w:t>Overtaken</w:t>
            </w:r>
          </w:p>
        </w:tc>
        <w:tc>
          <w:tcPr>
            <w:tcW w:type="dxa" w:w="1080"/>
          </w:tcPr>
          <w:p>
            <w:r>
              <w:rPr>
                <w:sz w:val="20"/>
              </w:rPr>
              <w:t>Baseline</w:t>
            </w:r>
          </w:p>
        </w:tc>
        <w:tc>
          <w:tcPr>
            <w:tcW w:type="dxa" w:w="1080"/>
          </w:tcPr>
          <w:p>
            <w:r>
              <w:rPr>
                <w:sz w:val="20"/>
              </w:rPr>
              <w:t>15</w:t>
            </w:r>
          </w:p>
        </w:tc>
        <w:tc>
          <w:tcPr>
            <w:tcW w:type="dxa" w:w="1080"/>
          </w:tcPr>
          <w:p>
            <w:r>
              <w:rPr>
                <w:sz w:val="20"/>
              </w:rPr>
              <w:t>80.0%</w:t>
            </w:r>
          </w:p>
        </w:tc>
        <w:tc>
          <w:tcPr>
            <w:tcW w:type="dxa" w:w="1080"/>
          </w:tcPr>
          <w:p>
            <w:r>
              <w:rPr>
                <w:sz w:val="20"/>
              </w:rPr>
              <w:t>64.2%</w:t>
            </w:r>
          </w:p>
        </w:tc>
        <w:tc>
          <w:tcPr>
            <w:tcW w:type="dxa" w:w="1080"/>
          </w:tcPr>
          <w:p>
            <w:r>
              <w:rPr>
                <w:sz w:val="20"/>
              </w:rPr>
              <w:t>1.246</w:t>
            </w:r>
          </w:p>
        </w:tc>
        <w:tc>
          <w:tcPr>
            <w:tcW w:type="dxa" w:w="1080"/>
          </w:tcPr>
          <w:p>
            <w:r>
              <w:rPr>
                <w:sz w:val="20"/>
              </w:rPr>
              <w:t>0.1873</w:t>
            </w:r>
          </w:p>
        </w:tc>
        <w:tc>
          <w:tcPr>
            <w:tcW w:type="dxa" w:w="1080"/>
          </w:tcPr>
          <w:p>
            <w:r>
              <w:rPr>
                <w:sz w:val="20"/>
              </w:rPr>
            </w:r>
          </w:p>
        </w:tc>
      </w:tr>
      <w:tr>
        <w:tc>
          <w:tcPr>
            <w:tcW w:type="dxa" w:w="1080"/>
          </w:tcPr>
          <w:p>
            <w:r>
              <w:rPr>
                <w:sz w:val="20"/>
              </w:rPr>
              <w:t>Overtaken</w:t>
            </w:r>
          </w:p>
        </w:tc>
        <w:tc>
          <w:tcPr>
            <w:tcW w:type="dxa" w:w="1080"/>
          </w:tcPr>
          <w:p>
            <w:r>
              <w:rPr>
                <w:sz w:val="20"/>
              </w:rPr>
              <w:t>+5 Strong</w:t>
            </w:r>
          </w:p>
        </w:tc>
        <w:tc>
          <w:tcPr>
            <w:tcW w:type="dxa" w:w="1080"/>
          </w:tcPr>
          <w:p>
            <w:r>
              <w:rPr>
                <w:sz w:val="20"/>
              </w:rPr>
              <w:t>20</w:t>
            </w:r>
          </w:p>
        </w:tc>
        <w:tc>
          <w:tcPr>
            <w:tcW w:type="dxa" w:w="1080"/>
          </w:tcPr>
          <w:p>
            <w:r>
              <w:rPr>
                <w:sz w:val="20"/>
              </w:rPr>
              <w:t>85.0%</w:t>
            </w:r>
          </w:p>
        </w:tc>
        <w:tc>
          <w:tcPr>
            <w:tcW w:type="dxa" w:w="1080"/>
          </w:tcPr>
          <w:p>
            <w:r>
              <w:rPr>
                <w:sz w:val="20"/>
              </w:rPr>
              <w:t>61.8%</w:t>
            </w:r>
          </w:p>
        </w:tc>
        <w:tc>
          <w:tcPr>
            <w:tcW w:type="dxa" w:w="1080"/>
          </w:tcPr>
          <w:p>
            <w:r>
              <w:rPr>
                <w:sz w:val="20"/>
              </w:rPr>
              <w:t>1.374</w:t>
            </w:r>
          </w:p>
        </w:tc>
        <w:tc>
          <w:tcPr>
            <w:tcW w:type="dxa" w:w="1080"/>
          </w:tcPr>
          <w:p>
            <w:r>
              <w:rPr>
                <w:sz w:val="20"/>
              </w:rPr>
              <w:t>0.0413</w:t>
            </w:r>
          </w:p>
        </w:tc>
        <w:tc>
          <w:tcPr>
            <w:tcW w:type="dxa" w:w="1080"/>
          </w:tcPr>
          <w:p>
            <w:r>
              <w:rPr>
                <w:sz w:val="20"/>
              </w:rPr>
              <w:t>^*</w:t>
            </w:r>
          </w:p>
        </w:tc>
      </w:tr>
      <w:tr>
        <w:tc>
          <w:tcPr>
            <w:tcW w:type="dxa" w:w="1080"/>
          </w:tcPr>
          <w:p>
            <w:r>
              <w:rPr>
                <w:sz w:val="20"/>
              </w:rPr>
              <w:t>Overtaken</w:t>
            </w:r>
          </w:p>
        </w:tc>
        <w:tc>
          <w:tcPr>
            <w:tcW w:type="dxa" w:w="1080"/>
          </w:tcPr>
          <w:p>
            <w:r>
              <w:rPr>
                <w:sz w:val="20"/>
              </w:rPr>
              <w:t>+7 All</w:t>
            </w:r>
          </w:p>
        </w:tc>
        <w:tc>
          <w:tcPr>
            <w:tcW w:type="dxa" w:w="1080"/>
          </w:tcPr>
          <w:p>
            <w:r>
              <w:rPr>
                <w:sz w:val="20"/>
              </w:rPr>
              <w:t>22</w:t>
            </w:r>
          </w:p>
        </w:tc>
        <w:tc>
          <w:tcPr>
            <w:tcW w:type="dxa" w:w="1080"/>
          </w:tcPr>
          <w:p>
            <w:r>
              <w:rPr>
                <w:sz w:val="20"/>
              </w:rPr>
              <w:t>86.4%</w:t>
            </w:r>
          </w:p>
        </w:tc>
        <w:tc>
          <w:tcPr>
            <w:tcW w:type="dxa" w:w="1080"/>
          </w:tcPr>
          <w:p>
            <w:r>
              <w:rPr>
                <w:sz w:val="20"/>
              </w:rPr>
              <w:t>60.8%</w:t>
            </w:r>
          </w:p>
        </w:tc>
        <w:tc>
          <w:tcPr>
            <w:tcW w:type="dxa" w:w="1080"/>
          </w:tcPr>
          <w:p>
            <w:r>
              <w:rPr>
                <w:sz w:val="20"/>
              </w:rPr>
              <w:t>1.420</w:t>
            </w:r>
          </w:p>
        </w:tc>
        <w:tc>
          <w:tcPr>
            <w:tcW w:type="dxa" w:w="1080"/>
          </w:tcPr>
          <w:p>
            <w:r>
              <w:rPr>
                <w:sz w:val="20"/>
              </w:rPr>
              <w:t>0.0204</w:t>
            </w:r>
          </w:p>
        </w:tc>
        <w:tc>
          <w:tcPr>
            <w:tcW w:type="dxa" w:w="1080"/>
          </w:tcPr>
          <w:p>
            <w:r>
              <w:rPr>
                <w:sz w:val="20"/>
              </w:rPr>
              <w:t>^*</w:t>
            </w:r>
          </w:p>
        </w:tc>
      </w:tr>
      <w:tr>
        <w:tc>
          <w:tcPr>
            <w:tcW w:type="dxa" w:w="1080"/>
          </w:tcPr>
          <w:p>
            <w:r>
              <w:rPr>
                <w:sz w:val="20"/>
              </w:rPr>
              <w:t>Survived</w:t>
            </w:r>
          </w:p>
        </w:tc>
        <w:tc>
          <w:tcPr>
            <w:tcW w:type="dxa" w:w="1080"/>
          </w:tcPr>
          <w:p>
            <w:r>
              <w:rPr>
                <w:sz w:val="20"/>
              </w:rPr>
              <w:t>Baseline</w:t>
            </w:r>
          </w:p>
        </w:tc>
        <w:tc>
          <w:tcPr>
            <w:tcW w:type="dxa" w:w="1080"/>
          </w:tcPr>
          <w:p>
            <w:r>
              <w:rPr>
                <w:sz w:val="20"/>
              </w:rPr>
              <w:t>15</w:t>
            </w:r>
          </w:p>
        </w:tc>
        <w:tc>
          <w:tcPr>
            <w:tcW w:type="dxa" w:w="1080"/>
          </w:tcPr>
          <w:p>
            <w:r>
              <w:rPr>
                <w:sz w:val="20"/>
              </w:rPr>
              <w:t>66.7%</w:t>
            </w:r>
          </w:p>
        </w:tc>
        <w:tc>
          <w:tcPr>
            <w:tcW w:type="dxa" w:w="1080"/>
          </w:tcPr>
          <w:p>
            <w:r>
              <w:rPr>
                <w:sz w:val="20"/>
              </w:rPr>
              <w:t>44.4%</w:t>
            </w:r>
          </w:p>
        </w:tc>
        <w:tc>
          <w:tcPr>
            <w:tcW w:type="dxa" w:w="1080"/>
          </w:tcPr>
          <w:p>
            <w:r>
              <w:rPr>
                <w:sz w:val="20"/>
              </w:rPr>
              <w:t>1.500</w:t>
            </w:r>
          </w:p>
        </w:tc>
        <w:tc>
          <w:tcPr>
            <w:tcW w:type="dxa" w:w="1080"/>
          </w:tcPr>
          <w:p>
            <w:r>
              <w:rPr>
                <w:sz w:val="20"/>
              </w:rPr>
              <w:t>0.0964</w:t>
            </w:r>
          </w:p>
        </w:tc>
        <w:tc>
          <w:tcPr>
            <w:tcW w:type="dxa" w:w="1080"/>
          </w:tcPr>
          <w:p>
            <w:r>
              <w:rPr>
                <w:sz w:val="20"/>
              </w:rPr>
            </w:r>
          </w:p>
        </w:tc>
      </w:tr>
      <w:tr>
        <w:tc>
          <w:tcPr>
            <w:tcW w:type="dxa" w:w="1080"/>
          </w:tcPr>
          <w:p>
            <w:r>
              <w:rPr>
                <w:sz w:val="20"/>
              </w:rPr>
              <w:t>Survived</w:t>
            </w:r>
          </w:p>
        </w:tc>
        <w:tc>
          <w:tcPr>
            <w:tcW w:type="dxa" w:w="1080"/>
          </w:tcPr>
          <w:p>
            <w:r>
              <w:rPr>
                <w:sz w:val="20"/>
              </w:rPr>
              <w:t>+5 Strong</w:t>
            </w:r>
          </w:p>
        </w:tc>
        <w:tc>
          <w:tcPr>
            <w:tcW w:type="dxa" w:w="1080"/>
          </w:tcPr>
          <w:p>
            <w:r>
              <w:rPr>
                <w:sz w:val="20"/>
              </w:rPr>
              <w:t>20</w:t>
            </w:r>
          </w:p>
        </w:tc>
        <w:tc>
          <w:tcPr>
            <w:tcW w:type="dxa" w:w="1080"/>
          </w:tcPr>
          <w:p>
            <w:r>
              <w:rPr>
                <w:sz w:val="20"/>
              </w:rPr>
              <w:t>75.0%</w:t>
            </w:r>
          </w:p>
        </w:tc>
        <w:tc>
          <w:tcPr>
            <w:tcW w:type="dxa" w:w="1080"/>
          </w:tcPr>
          <w:p>
            <w:r>
              <w:rPr>
                <w:sz w:val="20"/>
              </w:rPr>
              <w:t>40.8%</w:t>
            </w:r>
          </w:p>
        </w:tc>
        <w:tc>
          <w:tcPr>
            <w:tcW w:type="dxa" w:w="1080"/>
          </w:tcPr>
          <w:p>
            <w:r>
              <w:rPr>
                <w:sz w:val="20"/>
              </w:rPr>
              <w:t>1.839</w:t>
            </w:r>
          </w:p>
        </w:tc>
        <w:tc>
          <w:tcPr>
            <w:tcW w:type="dxa" w:w="1080"/>
          </w:tcPr>
          <w:p>
            <w:r>
              <w:rPr>
                <w:sz w:val="20"/>
              </w:rPr>
              <w:t>0.0062</w:t>
            </w:r>
          </w:p>
        </w:tc>
        <w:tc>
          <w:tcPr>
            <w:tcW w:type="dxa" w:w="1080"/>
          </w:tcPr>
          <w:p>
            <w:r>
              <w:rPr>
                <w:sz w:val="20"/>
              </w:rPr>
              <w:t>^*</w:t>
            </w:r>
          </w:p>
        </w:tc>
      </w:tr>
      <w:tr>
        <w:tc>
          <w:tcPr>
            <w:tcW w:type="dxa" w:w="1080"/>
          </w:tcPr>
          <w:p>
            <w:r>
              <w:rPr>
                <w:sz w:val="20"/>
              </w:rPr>
              <w:t>Survived</w:t>
            </w:r>
          </w:p>
        </w:tc>
        <w:tc>
          <w:tcPr>
            <w:tcW w:type="dxa" w:w="1080"/>
          </w:tcPr>
          <w:p>
            <w:r>
              <w:rPr>
                <w:sz w:val="20"/>
              </w:rPr>
              <w:t>+7 All</w:t>
            </w:r>
          </w:p>
        </w:tc>
        <w:tc>
          <w:tcPr>
            <w:tcW w:type="dxa" w:w="1080"/>
          </w:tcPr>
          <w:p>
            <w:r>
              <w:rPr>
                <w:sz w:val="20"/>
              </w:rPr>
              <w:t>22</w:t>
            </w:r>
          </w:p>
        </w:tc>
        <w:tc>
          <w:tcPr>
            <w:tcW w:type="dxa" w:w="1080"/>
          </w:tcPr>
          <w:p>
            <w:r>
              <w:rPr>
                <w:sz w:val="20"/>
              </w:rPr>
              <w:t>77.3%</w:t>
            </w:r>
          </w:p>
        </w:tc>
        <w:tc>
          <w:tcPr>
            <w:tcW w:type="dxa" w:w="1080"/>
          </w:tcPr>
          <w:p>
            <w:r>
              <w:rPr>
                <w:sz w:val="20"/>
              </w:rPr>
              <w:t>39.2%</w:t>
            </w:r>
          </w:p>
        </w:tc>
        <w:tc>
          <w:tcPr>
            <w:tcW w:type="dxa" w:w="1080"/>
          </w:tcPr>
          <w:p>
            <w:r>
              <w:rPr>
                <w:sz w:val="20"/>
              </w:rPr>
              <w:t>1.972</w:t>
            </w:r>
          </w:p>
        </w:tc>
        <w:tc>
          <w:tcPr>
            <w:tcW w:type="dxa" w:w="1080"/>
          </w:tcPr>
          <w:p>
            <w:r>
              <w:rPr>
                <w:sz w:val="20"/>
              </w:rPr>
              <w:t>0.0017</w:t>
            </w:r>
          </w:p>
        </w:tc>
        <w:tc>
          <w:tcPr>
            <w:tcW w:type="dxa" w:w="1080"/>
          </w:tcPr>
          <w:p>
            <w:r>
              <w:rPr>
                <w:sz w:val="20"/>
              </w:rPr>
              <w:t>^*</w:t>
            </w:r>
          </w:p>
        </w:tc>
      </w:tr>
    </w:tbl>
    <w:p/>
    <w:p>
      <w:pPr>
        <w:jc w:val="center"/>
      </w:pPr>
      <w:r>
        <w:drawing>
          <wp:inline xmlns:a="http://schemas.openxmlformats.org/drawingml/2006/main" xmlns:pic="http://schemas.openxmlformats.org/drawingml/2006/picture">
            <wp:extent cx="5029200" cy="209197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2091978"/>
                    </a:xfrm>
                    <a:prstGeom prst="rect"/>
                  </pic:spPr>
                </pic:pic>
              </a:graphicData>
            </a:graphic>
          </wp:inline>
        </w:drawing>
      </w:r>
    </w:p>
    <w:p>
      <w:pPr>
        <w:spacing w:before="120" w:after="240"/>
        <w:jc w:val="left"/>
      </w:pPr>
      <w:r>
        <w:rPr>
          <w:b/>
        </w:rPr>
        <w:t xml:space="preserve">Fig. 1. </w:t>
      </w:r>
      <w:r>
        <w:t>Conquest rates comparing network closure vs.\ open polities across three reclassification scenarios under both disrupted assignments.</w:t>
      </w:r>
    </w:p>
    <w:p>
      <w:pPr>
        <w:jc w:val="center"/>
      </w:pPr>
      <w:r>
        <w:drawing>
          <wp:inline xmlns:a="http://schemas.openxmlformats.org/drawingml/2006/main" xmlns:pic="http://schemas.openxmlformats.org/drawingml/2006/picture">
            <wp:extent cx="5029200" cy="311725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029200" cy="3117255"/>
                    </a:xfrm>
                    <a:prstGeom prst="rect"/>
                  </pic:spPr>
                </pic:pic>
              </a:graphicData>
            </a:graphic>
          </wp:inline>
        </w:drawing>
      </w:r>
    </w:p>
    <w:p>
      <w:pPr>
        <w:spacing w:before="120" w:after="240"/>
        <w:jc w:val="left"/>
      </w:pPr>
      <w:r>
        <w:rPr>
          <w:b/>
        </w:rPr>
        <w:t xml:space="preserve">Fig. 2. </w:t>
      </w:r>
      <w:r>
        <w:t>Fisher's exact test p-values for the network closure conquest association as polities are progressively reclassified.</w:t>
      </w:r>
    </w:p>
    <w:p>
      <w:pPr>
        <w:pStyle w:val="Heading1"/>
      </w:pPr>
      <w:r>
        <w:t>Sensitivity Analysis: Technical Network Exclusion</w:t>
      </w:r>
    </w:p>
    <w:p>
      <w:pPr>
        <w:pStyle w:val="Heading2"/>
      </w:pPr>
      <w:r>
        <w:t>Closure-type disaggregation and the dose–response pattern</w:t>
      </w:r>
    </w:p>
    <w:p>
      <w:r>
        <w:t>Fig. 3 disaggregates conquest rates by closure type under the 7-country reclassification. A striking gradient emerges. Technically excluded polities—those with zero access to the dominant exchange networks of their era—exhibit a 100% conquest rate. Policy-based maritime bans, which restricted but did not entirely eliminate external contact, show lower rates (76.9% under disrupted overtaken; 69.2% under disrupted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pPr>
        <w:jc w:val="center"/>
      </w:pPr>
      <w:r>
        <w:drawing>
          <wp:inline xmlns:a="http://schemas.openxmlformats.org/drawingml/2006/main" xmlns:pic="http://schemas.openxmlformats.org/drawingml/2006/picture">
            <wp:extent cx="5029200" cy="209256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029200" cy="2092564"/>
                    </a:xfrm>
                    <a:prstGeom prst="rect"/>
                  </pic:spPr>
                </pic:pic>
              </a:graphicData>
            </a:graphic>
          </wp:inline>
        </w:drawing>
      </w:r>
    </w:p>
    <w:p>
      <w:pPr>
        <w:spacing w:before="120" w:after="240"/>
        <w:jc w:val="left"/>
      </w:pPr>
      <w:r>
        <w:rPr>
          <w:b/>
        </w:rPr>
        <w:t xml:space="preserve">Fig. 3. </w:t>
      </w:r>
      <w:r>
        <w:t>Conquest rates by closure type under the 7-country reclassification scenario.</w:t>
      </w:r>
    </w:p>
    <w:p>
      <w:pPr>
        <w:pStyle w:val="Heading2"/>
      </w:pPr>
      <w:r>
        <w:t>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Multivariate regression stability</w:t>
      </w:r>
    </w:p>
    <w:p>
      <w:r>
        <w:t>Fig. 4 presents the multivariate logistic regression results under the 7-country reclassification with disrupted overtaken. External threat remains the strongest predictor of conquest (p &lt; 0.01 across all scenarios), followed by institutional quality and era (both p &lt; 0.01). The network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pPr>
        <w:jc w:val="center"/>
      </w:pPr>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pPr>
        <w:spacing w:before="120" w:after="240"/>
        <w:jc w:val="left"/>
      </w:pPr>
      <w:r>
        <w:rPr>
          <w:b/>
        </w:rPr>
        <w:t xml:space="preserve">Fig. 4. </w:t>
      </w:r>
      <w:r>
        <w:t>Forest plot of multivariate logistic regression odds ratios (7-country reclassification, disrupted overtaken).</w:t>
      </w:r>
    </w:p>
    <w:p>
      <w:pPr>
        <w:spacing w:before="240"/>
      </w:pPr>
      <w:r>
        <w:rPr>
          <w:b/>
        </w:rPr>
        <w:t xml:space="preserve">Table 3. </w:t>
      </w:r>
      <w:r>
        <w:t>Multivariate logistic regression results (7-country reclassification, disrupted overtaken).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Variable</w:t>
            </w:r>
          </w:p>
        </w:tc>
        <w:tc>
          <w:tcPr>
            <w:tcW w:type="dxa" w:w="1728"/>
          </w:tcPr>
          <w:p>
            <w:r>
              <w:rPr>
                <w:b/>
                <w:sz w:val="20"/>
              </w:rPr>
              <w:t>OR</w:t>
            </w:r>
          </w:p>
        </w:tc>
        <w:tc>
          <w:tcPr>
            <w:tcW w:type="dxa" w:w="1728"/>
          </w:tcPr>
          <w:p>
            <w:r>
              <w:rPr>
                <w:b/>
                <w:sz w:val="20"/>
              </w:rPr>
              <w:t>95% CI</w:t>
            </w:r>
          </w:p>
        </w:tc>
        <w:tc>
          <w:tcPr>
            <w:tcW w:type="dxa" w:w="1728"/>
          </w:tcPr>
          <w:p>
            <w:r>
              <w:rPr>
                <w:b/>
                <w:sz w:val="20"/>
              </w:rPr>
              <w:t>p-value</w:t>
            </w:r>
          </w:p>
        </w:tc>
        <w:tc>
          <w:tcPr>
            <w:tcW w:type="dxa" w:w="1728"/>
          </w:tcPr>
          <w:p>
            <w:r>
              <w:rPr>
                <w:b/>
                <w:sz w:val="20"/>
              </w:rPr>
              <w:t>Sig.</w:t>
            </w:r>
          </w:p>
        </w:tc>
      </w:tr>
      <w:tr>
        <w:tc>
          <w:tcPr>
            <w:tcW w:type="dxa" w:w="1728"/>
          </w:tcPr>
          <w:p>
            <w:r>
              <w:rPr>
                <w:sz w:val="20"/>
              </w:rPr>
              <w:t>Stock-dominant</w:t>
            </w:r>
          </w:p>
        </w:tc>
        <w:tc>
          <w:tcPr>
            <w:tcW w:type="dxa" w:w="1728"/>
          </w:tcPr>
          <w:p>
            <w:r>
              <w:rPr>
                <w:sz w:val="20"/>
              </w:rPr>
              <w:t>29.619</w:t>
            </w:r>
          </w:p>
        </w:tc>
        <w:tc>
          <w:tcPr>
            <w:tcW w:type="dxa" w:w="1728"/>
          </w:tcPr>
          <w:p>
            <w:r>
              <w:rPr>
                <w:sz w:val="20"/>
              </w:rPr>
              <w:t>[0.452, 1939.410]</w:t>
            </w:r>
          </w:p>
        </w:tc>
        <w:tc>
          <w:tcPr>
            <w:tcW w:type="dxa" w:w="1728"/>
          </w:tcPr>
          <w:p>
            <w:r>
              <w:rPr>
                <w:sz w:val="20"/>
              </w:rPr>
              <w:t>0.1123</w:t>
            </w:r>
          </w:p>
        </w:tc>
        <w:tc>
          <w:tcPr>
            <w:tcW w:type="dxa" w:w="1728"/>
          </w:tcPr>
          <w:p>
            <w:r>
              <w:rPr>
                <w:sz w:val="20"/>
              </w:rPr>
            </w:r>
          </w:p>
        </w:tc>
      </w:tr>
      <w:tr>
        <w:tc>
          <w:tcPr>
            <w:tcW w:type="dxa" w:w="1728"/>
          </w:tcPr>
          <w:p>
            <w:r>
              <w:rPr>
                <w:sz w:val="20"/>
              </w:rPr>
              <w:t>Geographic barrier</w:t>
            </w:r>
          </w:p>
        </w:tc>
        <w:tc>
          <w:tcPr>
            <w:tcW w:type="dxa" w:w="1728"/>
          </w:tcPr>
          <w:p>
            <w:r>
              <w:rPr>
                <w:sz w:val="20"/>
              </w:rPr>
              <w:t>0.003</w:t>
            </w:r>
          </w:p>
        </w:tc>
        <w:tc>
          <w:tcPr>
            <w:tcW w:type="dxa" w:w="1728"/>
          </w:tcPr>
          <w:p>
            <w:r>
              <w:rPr>
                <w:sz w:val="20"/>
              </w:rPr>
              <w:t>[0.000, 2.942]</w:t>
            </w:r>
          </w:p>
        </w:tc>
        <w:tc>
          <w:tcPr>
            <w:tcW w:type="dxa" w:w="1728"/>
          </w:tcPr>
          <w:p>
            <w:r>
              <w:rPr>
                <w:sz w:val="20"/>
              </w:rPr>
              <w:t>0.0983</w:t>
            </w:r>
          </w:p>
        </w:tc>
        <w:tc>
          <w:tcPr>
            <w:tcW w:type="dxa" w:w="1728"/>
          </w:tcPr>
          <w:p>
            <w:r>
              <w:rPr>
                <w:sz w:val="20"/>
              </w:rPr>
            </w:r>
          </w:p>
        </w:tc>
      </w:tr>
      <w:tr>
        <w:tc>
          <w:tcPr>
            <w:tcW w:type="dxa" w:w="1728"/>
          </w:tcPr>
          <w:p>
            <w:r>
              <w:rPr>
                <w:sz w:val="20"/>
              </w:rPr>
              <w:t>External threat</w:t>
            </w:r>
          </w:p>
        </w:tc>
        <w:tc>
          <w:tcPr>
            <w:tcW w:type="dxa" w:w="1728"/>
          </w:tcPr>
          <w:p>
            <w:r>
              <w:rPr>
                <w:sz w:val="20"/>
              </w:rPr>
              <w:t>1279858.850</w:t>
            </w:r>
          </w:p>
        </w:tc>
        <w:tc>
          <w:tcPr>
            <w:tcW w:type="dxa" w:w="1728"/>
          </w:tcPr>
          <w:p>
            <w:r>
              <w:rPr>
                <w:sz w:val="20"/>
              </w:rPr>
              <w:t>[106.606, &gt;10^6]</w:t>
            </w:r>
          </w:p>
        </w:tc>
        <w:tc>
          <w:tcPr>
            <w:tcW w:type="dxa" w:w="1728"/>
          </w:tcPr>
          <w:p>
            <w:r>
              <w:rPr>
                <w:sz w:val="20"/>
              </w:rPr>
              <w:t>0.0033</w:t>
            </w:r>
          </w:p>
        </w:tc>
        <w:tc>
          <w:tcPr>
            <w:tcW w:type="dxa" w:w="1728"/>
          </w:tcPr>
          <w:p>
            <w:r>
              <w:rPr>
                <w:sz w:val="20"/>
              </w:rPr>
              <w:t>*</w:t>
            </w:r>
          </w:p>
        </w:tc>
      </w:tr>
      <w:tr>
        <w:tc>
          <w:tcPr>
            <w:tcW w:type="dxa" w:w="1728"/>
          </w:tcPr>
          <w:p>
            <w:r>
              <w:rPr>
                <w:sz w:val="20"/>
              </w:rPr>
              <w:t>Technological position</w:t>
            </w:r>
          </w:p>
        </w:tc>
        <w:tc>
          <w:tcPr>
            <w:tcW w:type="dxa" w:w="1728"/>
          </w:tcPr>
          <w:p>
            <w:r>
              <w:rPr>
                <w:sz w:val="20"/>
              </w:rPr>
              <w:t>6.973</w:t>
            </w:r>
          </w:p>
        </w:tc>
        <w:tc>
          <w:tcPr>
            <w:tcW w:type="dxa" w:w="1728"/>
          </w:tcPr>
          <w:p>
            <w:r>
              <w:rPr>
                <w:sz w:val="20"/>
              </w:rPr>
              <w:t>[0.003, 14940.014]</w:t>
            </w:r>
          </w:p>
        </w:tc>
        <w:tc>
          <w:tcPr>
            <w:tcW w:type="dxa" w:w="1728"/>
          </w:tcPr>
          <w:p>
            <w:r>
              <w:rPr>
                <w:sz w:val="20"/>
              </w:rPr>
              <w:t>0.6197</w:t>
            </w:r>
          </w:p>
        </w:tc>
        <w:tc>
          <w:tcPr>
            <w:tcW w:type="dxa" w:w="1728"/>
          </w:tcPr>
          <w:p>
            <w:r>
              <w:rPr>
                <w:sz w:val="20"/>
              </w:rPr>
            </w:r>
          </w:p>
        </w:tc>
      </w:tr>
      <w:tr>
        <w:tc>
          <w:tcPr>
            <w:tcW w:type="dxa" w:w="1728"/>
          </w:tcPr>
          <w:p>
            <w:r>
              <w:rPr>
                <w:sz w:val="20"/>
              </w:rPr>
              <w:t>Institutional quality</w:t>
            </w:r>
          </w:p>
        </w:tc>
        <w:tc>
          <w:tcPr>
            <w:tcW w:type="dxa" w:w="1728"/>
          </w:tcPr>
          <w:p>
            <w:r>
              <w:rPr>
                <w:sz w:val="20"/>
              </w:rPr>
              <w:t>0.000</w:t>
            </w:r>
          </w:p>
        </w:tc>
        <w:tc>
          <w:tcPr>
            <w:tcW w:type="dxa" w:w="1728"/>
          </w:tcPr>
          <w:p>
            <w:r>
              <w:rPr>
                <w:sz w:val="20"/>
              </w:rPr>
              <w:t>[0.000, 0.020]</w:t>
            </w:r>
          </w:p>
        </w:tc>
        <w:tc>
          <w:tcPr>
            <w:tcW w:type="dxa" w:w="1728"/>
          </w:tcPr>
          <w:p>
            <w:r>
              <w:rPr>
                <w:sz w:val="20"/>
              </w:rPr>
              <w:t>0.0074</w:t>
            </w:r>
          </w:p>
        </w:tc>
        <w:tc>
          <w:tcPr>
            <w:tcW w:type="dxa" w:w="1728"/>
          </w:tcPr>
          <w:p>
            <w:r>
              <w:rPr>
                <w:sz w:val="20"/>
              </w:rPr>
              <w:t>*</w:t>
            </w:r>
          </w:p>
        </w:tc>
      </w:tr>
      <w:tr>
        <w:tc>
          <w:tcPr>
            <w:tcW w:type="dxa" w:w="1728"/>
          </w:tcPr>
          <w:p>
            <w:r>
              <w:rPr>
                <w:sz w:val="20"/>
              </w:rPr>
              <w:t>Era (time)</w:t>
            </w:r>
          </w:p>
        </w:tc>
        <w:tc>
          <w:tcPr>
            <w:tcW w:type="dxa" w:w="1728"/>
          </w:tcPr>
          <w:p>
            <w:r>
              <w:rPr>
                <w:sz w:val="20"/>
              </w:rPr>
              <w:t>0.053</w:t>
            </w:r>
          </w:p>
        </w:tc>
        <w:tc>
          <w:tcPr>
            <w:tcW w:type="dxa" w:w="1728"/>
          </w:tcPr>
          <w:p>
            <w:r>
              <w:rPr>
                <w:sz w:val="20"/>
              </w:rPr>
              <w:t>[0.006, 0.486]</w:t>
            </w:r>
          </w:p>
        </w:tc>
        <w:tc>
          <w:tcPr>
            <w:tcW w:type="dxa" w:w="1728"/>
          </w:tcPr>
          <w:p>
            <w:r>
              <w:rPr>
                <w:sz w:val="20"/>
              </w:rPr>
              <w:t>0.0093</w:t>
            </w:r>
          </w:p>
        </w:tc>
        <w:tc>
          <w:tcPr>
            <w:tcW w:type="dxa" w:w="1728"/>
          </w:tcPr>
          <w:p>
            <w:r>
              <w:rPr>
                <w:sz w:val="20"/>
              </w:rPr>
              <w:t>*</w:t>
            </w:r>
          </w:p>
        </w:tc>
      </w:tr>
      <w:tr>
        <w:tc>
          <w:tcPr>
            <w:tcW w:type="dxa" w:w="1728"/>
          </w:tcPr>
          <w:p>
            <w:r>
              <w:rPr>
                <w:sz w:val="20"/>
              </w:rPr>
              <w:t>External patron</w:t>
            </w:r>
          </w:p>
        </w:tc>
        <w:tc>
          <w:tcPr>
            <w:tcW w:type="dxa" w:w="1728"/>
          </w:tcPr>
          <w:p>
            <w:r>
              <w:rPr>
                <w:sz w:val="20"/>
              </w:rPr>
              <w:t>0.309</w:t>
            </w:r>
          </w:p>
        </w:tc>
        <w:tc>
          <w:tcPr>
            <w:tcW w:type="dxa" w:w="1728"/>
          </w:tcPr>
          <w:p>
            <w:r>
              <w:rPr>
                <w:sz w:val="20"/>
              </w:rPr>
              <w:t>[0.017, 5.520]</w:t>
            </w:r>
          </w:p>
        </w:tc>
        <w:tc>
          <w:tcPr>
            <w:tcW w:type="dxa" w:w="1728"/>
          </w:tcPr>
          <w:p>
            <w:r>
              <w:rPr>
                <w:sz w:val="20"/>
              </w:rPr>
              <w:t>0.4247</w:t>
            </w:r>
          </w:p>
        </w:tc>
        <w:tc>
          <w:tcPr>
            <w:tcW w:type="dxa" w:w="1728"/>
          </w:tcPr>
          <w:p>
            <w:r>
              <w:rPr>
                <w:sz w:val="20"/>
              </w:rPr>
            </w:r>
          </w:p>
        </w:tc>
      </w:tr>
      <w:tr>
        <w:tc>
          <w:tcPr>
            <w:tcW w:type="dxa" w:w="1728"/>
          </w:tcPr>
          <w:p>
            <w:r>
              <w:rPr>
                <w:sz w:val="20"/>
              </w:rPr>
              <w:t>Network closure dummy</w:t>
            </w:r>
          </w:p>
        </w:tc>
        <w:tc>
          <w:tcPr>
            <w:tcW w:type="dxa" w:w="1728"/>
          </w:tcPr>
          <w:p>
            <w:r>
              <w:rPr>
                <w:sz w:val="20"/>
              </w:rPr>
              <w:t>0.705</w:t>
            </w:r>
          </w:p>
        </w:tc>
        <w:tc>
          <w:tcPr>
            <w:tcW w:type="dxa" w:w="1728"/>
          </w:tcPr>
          <w:p>
            <w:r>
              <w:rPr>
                <w:sz w:val="20"/>
              </w:rPr>
              <w:t>[0.013, 37.496]</w:t>
            </w:r>
          </w:p>
        </w:tc>
        <w:tc>
          <w:tcPr>
            <w:tcW w:type="dxa" w:w="1728"/>
          </w:tcPr>
          <w:p>
            <w:r>
              <w:rPr>
                <w:sz w:val="20"/>
              </w:rPr>
              <w:t>0.8630</w:t>
            </w:r>
          </w:p>
        </w:tc>
        <w:tc>
          <w:tcPr>
            <w:tcW w:type="dxa" w:w="1728"/>
          </w:tcPr>
          <w:p>
            <w:r>
              <w:rPr>
                <w:sz w:val="20"/>
              </w:rPr>
            </w:r>
          </w:p>
        </w:tc>
      </w:tr>
    </w:tbl>
    <w:p/>
    <w:p>
      <w:pPr>
        <w:pStyle w:val="Heading1"/>
      </w:pPr>
      <w:r>
        <w:t>Causal Identification Results</w:t>
      </w:r>
    </w:p>
    <w:p>
      <w:r>
        <w:t>We report the results of the four causal identification strategies described in Section methods-causal. All analyses use the disrupted overtaken assignment unless otherwise noted.</w:t>
      </w:r>
    </w:p>
    <w:p>
      <w:pPr>
        <w:pStyle w:val="Heading2"/>
      </w:pPr>
      <w:r>
        <w:t>Instrumental variables</w:t>
      </w:r>
    </w:p>
    <w:p>
      <w:r>
        <w:t>The geographic barrier index proves to be a weak instrument for network closure: the first-stage partial F-statistic is 0.58, well below the Staiger and Stock threshold of 10. The first-stage coefficient is positive but not significant (β̂geo = 0.192, p = 0.448), indicating that geographic barriers do not strongly predict closure status after conditioning on other covariates. The 2SLS estimate of the closure effect on conquest is -0.787 (p = 0.646, 95% CI [-4.15, 2.57]), which is imprecise and opposite in sign to the OLS estimate (+0.105). The Hausman-like comparison suggests potential endogeneity (OLS–IV difference = 0.891), but the weak instrument renders the IV estimate unreliable.</w:t>
      </w:r>
    </w:p>
    <w:p>
      <w:r>
        <w:t>We report this negative result transparently. The geographic barrier index, while conceptually appealing as an instrument, captures natural defensibility broadly rather than network disconnection specifically. In our dataset, defensible geography correlates weakly with closure status because policy-driven closures (maritime bans, bloc membership) occur independently of geographic features. Stronger instruments—such as distance from the nearest node of the dominant trade network, measured era by era—would require data that our cross-sectional framework does not provide. The IV strategy thus remains inconclusive and should not be interpreted as evidence against the closure–conquest hypothesis.</w:t>
      </w:r>
    </w:p>
    <w:p>
      <w:pPr>
        <w:pStyle w:val="Heading2"/>
      </w:pPr>
      <w:r>
        <w:t>Propensity score matching</w:t>
      </w:r>
    </w:p>
    <w:p>
      <w:r>
        <w:t>The propensity score model achieves good separation: mean propensity scores are 0.598 for closed polities and 0.241 for open ones, with adequate overlap. Of 36 treated (closed) units, 34 (94.4%) are matched within the caliper of 0.314 logit units. Covariate balance improves after matching for five of six covariates (Table 4).</w:t>
      </w:r>
    </w:p>
    <w:p>
      <w:r>
        <w:t>The ATT estimate is -0.118 (bootstrap SE = 0.098, 95% CI [-0.294, 0.059], p = 0.302). That is, after matching on observable covariates, closed polities show a lower conquest rate than their matched open counterparts, though the difference is not statistically significant. This surprising result merits careful interpretation. The propensity score model conditions on variables—era, institutional quality, technological position—that are themselves potential mediators of the closure effect. If closure degrades institutional quality and technological position over time (as the mechanism section argues), then conditioning on these downstream variables absorbs the very effect we seek to estimate. The PSM result is therefore consistent with closure operating indirectly through institutional and technological channels rather than as a direct cause of conquest.</w:t>
      </w:r>
    </w:p>
    <w:p>
      <w:pPr>
        <w:spacing w:before="240"/>
      </w:pPr>
      <w:r>
        <w:rPr>
          <w:b/>
        </w:rPr>
        <w:t xml:space="preserve">Table 4. </w:t>
      </w:r>
      <w:r>
        <w:t>Covariate balance before and after propensity score matching. SMD = standardised mean difference.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Covariate</w:t>
            </w:r>
          </w:p>
        </w:tc>
        <w:tc>
          <w:tcPr>
            <w:tcW w:type="dxa" w:w="2160"/>
          </w:tcPr>
          <w:p>
            <w:r>
              <w:rPr>
                <w:b/>
                <w:sz w:val="20"/>
              </w:rPr>
              <w:t>SMD (before)</w:t>
            </w:r>
          </w:p>
        </w:tc>
        <w:tc>
          <w:tcPr>
            <w:tcW w:type="dxa" w:w="2160"/>
          </w:tcPr>
          <w:p>
            <w:r>
              <w:rPr>
                <w:b/>
                <w:sz w:val="20"/>
              </w:rPr>
              <w:t>SMD (after)</w:t>
            </w:r>
          </w:p>
        </w:tc>
        <w:tc>
          <w:tcPr>
            <w:tcW w:type="dxa" w:w="2160"/>
          </w:tcPr>
          <w:p>
            <w:r>
              <w:rPr>
                <w:b/>
                <w:sz w:val="20"/>
              </w:rPr>
              <w:t>Improved</w:t>
            </w:r>
          </w:p>
        </w:tc>
      </w:tr>
      <w:tr>
        <w:tc>
          <w:tcPr>
            <w:tcW w:type="dxa" w:w="2160"/>
          </w:tcPr>
          <w:p>
            <w:r>
              <w:rPr>
                <w:sz w:val="20"/>
              </w:rPr>
              <w:t>Geographic barrier</w:t>
            </w:r>
          </w:p>
        </w:tc>
        <w:tc>
          <w:tcPr>
            <w:tcW w:type="dxa" w:w="2160"/>
          </w:tcPr>
          <w:p>
            <w:r>
              <w:rPr>
                <w:sz w:val="20"/>
              </w:rPr>
              <w:t>+0.225</w:t>
            </w:r>
          </w:p>
        </w:tc>
        <w:tc>
          <w:tcPr>
            <w:tcW w:type="dxa" w:w="2160"/>
          </w:tcPr>
          <w:p>
            <w:r>
              <w:rPr>
                <w:sz w:val="20"/>
              </w:rPr>
              <w:t>-0.072</w:t>
            </w:r>
          </w:p>
        </w:tc>
        <w:tc>
          <w:tcPr>
            <w:tcW w:type="dxa" w:w="2160"/>
          </w:tcPr>
          <w:p>
            <w:r>
              <w:rPr>
                <w:sz w:val="20"/>
              </w:rPr>
              <w:t>Yes</w:t>
            </w:r>
          </w:p>
        </w:tc>
      </w:tr>
      <w:tr>
        <w:tc>
          <w:tcPr>
            <w:tcW w:type="dxa" w:w="2160"/>
          </w:tcPr>
          <w:p>
            <w:r>
              <w:rPr>
                <w:sz w:val="20"/>
              </w:rPr>
              <w:t>External threat</w:t>
            </w:r>
          </w:p>
        </w:tc>
        <w:tc>
          <w:tcPr>
            <w:tcW w:type="dxa" w:w="2160"/>
          </w:tcPr>
          <w:p>
            <w:r>
              <w:rPr>
                <w:sz w:val="20"/>
              </w:rPr>
              <w:t>+0.138</w:t>
            </w:r>
          </w:p>
        </w:tc>
        <w:tc>
          <w:tcPr>
            <w:tcW w:type="dxa" w:w="2160"/>
          </w:tcPr>
          <w:p>
            <w:r>
              <w:rPr>
                <w:sz w:val="20"/>
              </w:rPr>
              <w:t>-0.349</w:t>
            </w:r>
          </w:p>
        </w:tc>
        <w:tc>
          <w:tcPr>
            <w:tcW w:type="dxa" w:w="2160"/>
          </w:tcPr>
          <w:p>
            <w:r>
              <w:rPr>
                <w:sz w:val="20"/>
              </w:rPr>
              <w:t>No</w:t>
            </w:r>
          </w:p>
        </w:tc>
      </w:tr>
      <w:tr>
        <w:tc>
          <w:tcPr>
            <w:tcW w:type="dxa" w:w="2160"/>
          </w:tcPr>
          <w:p>
            <w:r>
              <w:rPr>
                <w:sz w:val="20"/>
              </w:rPr>
              <w:t>Technological position</w:t>
            </w:r>
          </w:p>
        </w:tc>
        <w:tc>
          <w:tcPr>
            <w:tcW w:type="dxa" w:w="2160"/>
          </w:tcPr>
          <w:p>
            <w:r>
              <w:rPr>
                <w:sz w:val="20"/>
              </w:rPr>
              <w:t>-1.081</w:t>
            </w:r>
          </w:p>
        </w:tc>
        <w:tc>
          <w:tcPr>
            <w:tcW w:type="dxa" w:w="2160"/>
          </w:tcPr>
          <w:p>
            <w:r>
              <w:rPr>
                <w:sz w:val="20"/>
              </w:rPr>
              <w:t>+0.153</w:t>
            </w:r>
          </w:p>
        </w:tc>
        <w:tc>
          <w:tcPr>
            <w:tcW w:type="dxa" w:w="2160"/>
          </w:tcPr>
          <w:p>
            <w:r>
              <w:rPr>
                <w:sz w:val="20"/>
              </w:rPr>
              <w:t>Yes</w:t>
            </w:r>
          </w:p>
        </w:tc>
      </w:tr>
      <w:tr>
        <w:tc>
          <w:tcPr>
            <w:tcW w:type="dxa" w:w="2160"/>
          </w:tcPr>
          <w:p>
            <w:r>
              <w:rPr>
                <w:sz w:val="20"/>
              </w:rPr>
              <w:t>Institutional quality</w:t>
            </w:r>
          </w:p>
        </w:tc>
        <w:tc>
          <w:tcPr>
            <w:tcW w:type="dxa" w:w="2160"/>
          </w:tcPr>
          <w:p>
            <w:r>
              <w:rPr>
                <w:sz w:val="20"/>
              </w:rPr>
              <w:t>-0.662</w:t>
            </w:r>
          </w:p>
        </w:tc>
        <w:tc>
          <w:tcPr>
            <w:tcW w:type="dxa" w:w="2160"/>
          </w:tcPr>
          <w:p>
            <w:r>
              <w:rPr>
                <w:sz w:val="20"/>
              </w:rPr>
              <w:t>+0.269</w:t>
            </w:r>
          </w:p>
        </w:tc>
        <w:tc>
          <w:tcPr>
            <w:tcW w:type="dxa" w:w="2160"/>
          </w:tcPr>
          <w:p>
            <w:r>
              <w:rPr>
                <w:sz w:val="20"/>
              </w:rPr>
              <w:t>Yes</w:t>
            </w:r>
          </w:p>
        </w:tc>
      </w:tr>
      <w:tr>
        <w:tc>
          <w:tcPr>
            <w:tcW w:type="dxa" w:w="2160"/>
          </w:tcPr>
          <w:p>
            <w:r>
              <w:rPr>
                <w:sz w:val="20"/>
              </w:rPr>
              <w:t>Era</w:t>
            </w:r>
          </w:p>
        </w:tc>
        <w:tc>
          <w:tcPr>
            <w:tcW w:type="dxa" w:w="2160"/>
          </w:tcPr>
          <w:p>
            <w:r>
              <w:rPr>
                <w:sz w:val="20"/>
              </w:rPr>
              <w:t>+0.937</w:t>
            </w:r>
          </w:p>
        </w:tc>
        <w:tc>
          <w:tcPr>
            <w:tcW w:type="dxa" w:w="2160"/>
          </w:tcPr>
          <w:p>
            <w:r>
              <w:rPr>
                <w:sz w:val="20"/>
              </w:rPr>
              <w:t>+0.288</w:t>
            </w:r>
          </w:p>
        </w:tc>
        <w:tc>
          <w:tcPr>
            <w:tcW w:type="dxa" w:w="2160"/>
          </w:tcPr>
          <w:p>
            <w:r>
              <w:rPr>
                <w:sz w:val="20"/>
              </w:rPr>
              <w:t>Yes</w:t>
            </w:r>
          </w:p>
        </w:tc>
      </w:tr>
      <w:tr>
        <w:tc>
          <w:tcPr>
            <w:tcW w:type="dxa" w:w="2160"/>
          </w:tcPr>
          <w:p>
            <w:r>
              <w:rPr>
                <w:sz w:val="20"/>
              </w:rPr>
              <w:t>Relative population</w:t>
            </w:r>
          </w:p>
        </w:tc>
        <w:tc>
          <w:tcPr>
            <w:tcW w:type="dxa" w:w="2160"/>
          </w:tcPr>
          <w:p>
            <w:r>
              <w:rPr>
                <w:sz w:val="20"/>
              </w:rPr>
              <w:t>-0.223</w:t>
            </w:r>
          </w:p>
        </w:tc>
        <w:tc>
          <w:tcPr>
            <w:tcW w:type="dxa" w:w="2160"/>
          </w:tcPr>
          <w:p>
            <w:r>
              <w:rPr>
                <w:sz w:val="20"/>
              </w:rPr>
              <w:t>-0.029</w:t>
            </w:r>
          </w:p>
        </w:tc>
        <w:tc>
          <w:tcPr>
            <w:tcW w:type="dxa" w:w="2160"/>
          </w:tcPr>
          <w:p>
            <w:r>
              <w:rPr>
                <w:sz w:val="20"/>
              </w:rPr>
              <w:t>Yes</w:t>
            </w:r>
          </w:p>
        </w:tc>
      </w:tr>
    </w:tbl>
    <w:p/>
    <w:p>
      <w:pPr>
        <w:pStyle w:val="Heading2"/>
      </w:pPr>
      <w:r>
        <w:t>Natural experiment: technical network exclusion</w:t>
      </w:r>
    </w:p>
    <w:p>
      <w:r>
        <w:t>Among the four strategies, the natural experiment framing yields the strongest evidence for a causal interpretation. The seven technically excluded polities—whose disconnection from the dominant exchange network was imposed by geography rather than chosen by policy—show a 100% conquest rate, compared with 62.3% for open polities (Fisher's exact p = 0.048, one-sided) and 66.7% for policy-closed polities.</w:t>
      </w:r>
    </w:p>
    <w:p>
      <w:r>
        <w:t>Critically, the covariate balance between technically excluded and open polities is favourable: none of the eight covariates (geographic barrier, external threat, relative population, technological position, institutional quality, regime duration, era, external patron) differs significantly between groups (all Mann–Whitney p &gt; 0.05). This suggests that the technically excluded polities do not differ systematically from open polities on observable confounders, strengthening the interpretation that their elevated conquest rate reflects the effect of network exclusion itself rather than pre-existing disadvantages.</w:t>
      </w:r>
    </w:p>
    <w:p>
      <w:r>
        <w:t>The dose–response pattern further supports a causal reading. Conquest rates increase monotonically from open polities (62.3%) to policy-closed polities (66.7%) to technically excluded polities (100%), tracking the degree of technology flow disruption. The Cochran–Armitage trend test approaches significance (z = 1.607, p = 0.054), a notable result given the small treatment group (n = 7).</w:t>
      </w:r>
    </w:p>
    <w:p>
      <w:pPr>
        <w:pStyle w:val="Heading2"/>
      </w:pPr>
      <w:r>
        <w:t>Robustness battery</w:t>
      </w:r>
    </w:p>
    <w:p>
      <w:r>
        <w:rPr>
          <w:b/>
        </w:rPr>
        <w:t xml:space="preserve">E-value.. </w:t>
      </w:r>
    </w:p>
    <w:p>
      <w:r>
        <w:t>The stock–flow OR of 1.774 corresponds to an E-value of 2.95: an unmeasured confounder associated with both stock-orientation and conquest by an OR of at least 2.95 would be required to fully explain the observed association. While this is a modest barrier to confounding, it exceeds the effect sizes of all measured covariates except external threat, suggesting that the stock–flow association is not easily attributable to a single omitted variable.</w:t>
      </w:r>
    </w:p>
    <w:p>
      <w:r>
        <w:rPr>
          <w:b/>
        </w:rPr>
        <w:t xml:space="preserve">Permutation test.. </w:t>
      </w:r>
    </w:p>
    <w:p>
      <w:r>
        <w:t>Random reassignment of the dominant (stock/flow) label across 10,000 permutations yields a p-value of 0.139 for the observed risk difference of 0.126. This is consistent with the Fisher exact test and confirms that the stock–flow association, while directionally consistent, does not reach conventional significance.</w:t>
      </w:r>
    </w:p>
    <w:p>
      <w:r>
        <w:rPr>
          <w:b/>
        </w:rPr>
        <w:t xml:space="preserve">Leave-one-out analysis.. </w:t>
      </w:r>
    </w:p>
    <w:p>
      <w:r>
        <w:t>Removing each polity in turn yields ORs ranging from 1.685 to 1.935 (mean 1.776), with zero sign changes. No single polity drives the result, confirming the stability of the stock–flow OR.</w:t>
      </w:r>
    </w:p>
    <w:p>
      <w:r>
        <w:rPr>
          <w:b/>
        </w:rPr>
        <w:t xml:space="preserve">Alternative outcome definitions.. </w:t>
      </w:r>
    </w:p>
    <w:p>
      <w:r>
        <w:t>Under the disrupted overtaken assignment, OR = 1.774 (p = 0.139). Under disrupted survived, OR = 0.650 (p = 0.895). The sensitivity to outcome definition is the most consequential source of instability and underscores the importance of the dual-assignment design.</w:t>
      </w:r>
    </w:p>
    <w:p>
      <w:r>
        <w:rPr>
          <w:b/>
        </w:rPr>
        <w:t xml:space="preserve">Bootstrap confidence intervals.. </w:t>
      </w:r>
    </w:p>
    <w:p>
      <w:r>
        <w:t>The bootstrap median OR is 1.796 (95% CI [0.762, 4.570], 5,000 resamples). The interval includes 1.0, consistent with the marginal significance of the stock–flow association.</w:t>
      </w:r>
    </w:p>
    <w:p>
      <w:r>
        <w:rPr>
          <w:b/>
        </w:rPr>
        <w:t xml:space="preserve">Multicollinearity.. </w:t>
      </w:r>
    </w:p>
    <w:p>
      <w:r>
        <w:t>All VIFs are below 3.0 (maximum: institutional quality, VIF = 2.87), indicating no problematic multicollinearity among covariates.</w:t>
      </w:r>
    </w:p>
    <w:p>
      <w:pPr>
        <w:pStyle w:val="Heading1"/>
      </w:pPr>
      <w:r>
        <w:t>Discussion</w:t>
      </w:r>
    </w:p>
    <w:p>
      <w:pPr>
        <w:pStyle w:val="Heading2"/>
      </w:pPr>
      <w:r>
        <w:t>The mechanism: technology flow disruption and cumulative divergence</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The dose–response pattern in Fig. 3 reinforces this interpretation. Technical exclusion (zero technology transfer) produces a 100% conquest rate. Policy-based maritime bans, which restrict but do not eliminate technology flow, show conquest rates below 80%.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system—appears to have made a material difference. Japan was disrupted by the forced opening of 1853–54 but was not conquered; it reconstituted itself as the Meiji state and rapidly closed the technology gap. Bloc closures, which preserve substantial within-bloc technology sharing, show the lowest rates among closure categories. The ordering of conquest risk mirrors the ordering of technology flow disruption.</w:t>
      </w:r>
    </w:p>
    <w:p>
      <w:r>
        <w:t>The multivariate results complete the picture. External threat and institutional quality are the strongest predictors of conquest, and the network closure indicator loses significance after their inclusion (Table 3, Fig. 4). This is precisely what a technology-gap mechanism would predict: closure does not kill states directly. Rather, it initiates a causal chain—technological stagnation erodes institutional adaptive capacity, which in turn leaves the polity unable to respond to external threats. This causal ordering is consistent with Acemoglu and Robinson's (2012) emphasis on institutions as the proximate determinant of national success, while suggesting that network access is the deeper, upstream variable: exclusion degrades the very institutions that the inclusive-institutions framework identifies as essential. The mediating variables (external threat, institutional quality) absorb the explanatory power of the closure variable because they lie downstream in the causal pathway.</w:t>
      </w:r>
    </w:p>
    <w:p>
      <w:pPr>
        <w:pStyle w:val="Heading2"/>
      </w:pPr>
      <w:r>
        <w:t>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widened—a process analogous to the long-run consequences of network disruption documented by Nunn (2008), who showed that regions more heavily affected by the slave trade experienced persistent underdevelopment centuries later. When contact with a more advanced civilization eventually occurred—often through military expansion—the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totally severed.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 (Full details of each polity's closure regime, technology channels, and outcomes are recorded in Supplementary Table S1.)</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fatal technology gap remain an open and consequential problem for future research. Readers interested in tracing these cases in detail are referred to Supplementary Table S1, which documents the specific turning-point events and outcomes for all 96 polities in the dataset.</w:t>
      </w:r>
    </w:p>
    <w:p>
      <w:pPr>
        <w:pStyle w:val="Heading2"/>
      </w:pPr>
      <w:r>
        <w:t>Beyond geographic isolation: technological access exclusion in the modern era</w:t>
      </w:r>
    </w:p>
    <w:p>
      <w:r>
        <w:t>If the mechanism we identify is technology flow disruption rather than network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geographic network exclusion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The historical parallel is direct. Just as the Khmer Empire or the Timurid dynasty could not access the exchange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Robustness of the stock–flow framework and the question of resource-base transitions</w:t>
      </w:r>
    </w:p>
    <w:p>
      <w:r>
        <w:t>The invariance of the stock–flow OR (1.774) across all reclassification scenarios confirms that the core finding of the stock–flow framework—that stock-oriented polities face moderately higher conquest risk—is independent of how network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w:t>
      </w:r>
    </w:p>
    <w:p>
      <w:r>
        <w:t>Crossing these two dimensions yields a four-cell classification whose conquest rates are reported in Table 5. Flow-oriented polities without closure show the lowest conquest rate (57.4%, n = 47). Stock-oriented polities without closure show a moderately elevated rate (66.7%, n = 27). Stock-oriented polities with closure show a markedly higher rate (83.3%, n = 18). Flow-oriented polities with closure—a small cell (n = 4)—show a 100.0% conquest rate. The contrast between the highest- and lowest-risk cells (stock + closed vs.\ flow + open) yields an odds ratio of 3.70 (one-sided Fisher exact p = 0.045). Within stock-oriented polities, the effect of closure corresponds to an OR of 2.50 (p = 0.187). Within flow-oriented polities, the effect of closure yields an OR of ∞ (p = 0.126), though the cell size (n = 4) precludes reliable inference.</w:t>
      </w:r>
    </w:p>
    <w:p>
      <w:pPr>
        <w:spacing w:before="240"/>
      </w:pPr>
      <w:r>
        <w:rPr>
          <w:b/>
        </w:rPr>
        <w:t xml:space="preserve">Table 5. </w:t>
      </w:r>
      <w:r>
        <w:t>Conquest rates by resource-base orientation and closure status (7-country reclassification, disrupted = conquered).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r>
          </w:p>
        </w:tc>
        <w:tc>
          <w:tcPr>
            <w:tcW w:type="dxa" w:w="1728"/>
          </w:tcPr>
          <w:p>
            <w:r>
              <w:rPr>
                <w:b/>
                <w:sz w:val="20"/>
              </w:rPr>
              <w:t>Conquered</w:t>
            </w:r>
          </w:p>
        </w:tc>
        <w:tc>
          <w:tcPr>
            <w:tcW w:type="dxa" w:w="1728"/>
          </w:tcPr>
          <w:p>
            <w:r>
              <w:rPr>
                <w:b/>
                <w:sz w:val="20"/>
              </w:rPr>
              <w:t>Survived</w:t>
            </w:r>
          </w:p>
        </w:tc>
        <w:tc>
          <w:tcPr>
            <w:tcW w:type="dxa" w:w="1728"/>
          </w:tcPr>
          <w:p>
            <w:r>
              <w:rPr>
                <w:b/>
                <w:sz w:val="20"/>
              </w:rPr>
              <w:t>n</w:t>
            </w:r>
          </w:p>
        </w:tc>
        <w:tc>
          <w:tcPr>
            <w:tcW w:type="dxa" w:w="1728"/>
          </w:tcPr>
          <w:p>
            <w:r>
              <w:rPr>
                <w:b/>
                <w:sz w:val="20"/>
              </w:rPr>
              <w:t>Rate</w:t>
            </w:r>
          </w:p>
        </w:tc>
      </w:tr>
      <w:tr>
        <w:tc>
          <w:tcPr>
            <w:tcW w:type="dxa" w:w="1728"/>
          </w:tcPr>
          <w:p>
            <w:r>
              <w:rPr>
                <w:sz w:val="20"/>
              </w:rPr>
              <w:t>Stock + closed</w:t>
            </w:r>
          </w:p>
        </w:tc>
        <w:tc>
          <w:tcPr>
            <w:tcW w:type="dxa" w:w="1728"/>
          </w:tcPr>
          <w:p>
            <w:r>
              <w:rPr>
                <w:sz w:val="20"/>
              </w:rPr>
              <w:t>15</w:t>
            </w:r>
          </w:p>
        </w:tc>
        <w:tc>
          <w:tcPr>
            <w:tcW w:type="dxa" w:w="1728"/>
          </w:tcPr>
          <w:p>
            <w:r>
              <w:rPr>
                <w:sz w:val="20"/>
              </w:rPr>
              <w:t>3</w:t>
            </w:r>
          </w:p>
        </w:tc>
        <w:tc>
          <w:tcPr>
            <w:tcW w:type="dxa" w:w="1728"/>
          </w:tcPr>
          <w:p>
            <w:r>
              <w:rPr>
                <w:sz w:val="20"/>
              </w:rPr>
              <w:t>18</w:t>
            </w:r>
          </w:p>
        </w:tc>
        <w:tc>
          <w:tcPr>
            <w:tcW w:type="dxa" w:w="1728"/>
          </w:tcPr>
          <w:p>
            <w:r>
              <w:rPr>
                <w:sz w:val="20"/>
              </w:rPr>
              <w:t>83.3%</w:t>
            </w:r>
          </w:p>
        </w:tc>
      </w:tr>
      <w:tr>
        <w:tc>
          <w:tcPr>
            <w:tcW w:type="dxa" w:w="1728"/>
          </w:tcPr>
          <w:p>
            <w:r>
              <w:rPr>
                <w:sz w:val="20"/>
              </w:rPr>
              <w:t>Stock + open</w:t>
            </w:r>
          </w:p>
        </w:tc>
        <w:tc>
          <w:tcPr>
            <w:tcW w:type="dxa" w:w="1728"/>
          </w:tcPr>
          <w:p>
            <w:r>
              <w:rPr>
                <w:sz w:val="20"/>
              </w:rPr>
              <w:t>18</w:t>
            </w:r>
          </w:p>
        </w:tc>
        <w:tc>
          <w:tcPr>
            <w:tcW w:type="dxa" w:w="1728"/>
          </w:tcPr>
          <w:p>
            <w:r>
              <w:rPr>
                <w:sz w:val="20"/>
              </w:rPr>
              <w:t>9</w:t>
            </w:r>
          </w:p>
        </w:tc>
        <w:tc>
          <w:tcPr>
            <w:tcW w:type="dxa" w:w="1728"/>
          </w:tcPr>
          <w:p>
            <w:r>
              <w:rPr>
                <w:sz w:val="20"/>
              </w:rPr>
              <w:t>27</w:t>
            </w:r>
          </w:p>
        </w:tc>
        <w:tc>
          <w:tcPr>
            <w:tcW w:type="dxa" w:w="1728"/>
          </w:tcPr>
          <w:p>
            <w:r>
              <w:rPr>
                <w:sz w:val="20"/>
              </w:rPr>
              <w:t>66.7%</w:t>
            </w:r>
          </w:p>
        </w:tc>
      </w:tr>
      <w:tr>
        <w:tc>
          <w:tcPr>
            <w:tcW w:type="dxa" w:w="1728"/>
          </w:tcPr>
          <w:p>
            <w:r>
              <w:rPr>
                <w:sz w:val="20"/>
              </w:rPr>
              <w:t>Flow + closed</w:t>
            </w:r>
          </w:p>
        </w:tc>
        <w:tc>
          <w:tcPr>
            <w:tcW w:type="dxa" w:w="1728"/>
          </w:tcPr>
          <w:p>
            <w:r>
              <w:rPr>
                <w:sz w:val="20"/>
              </w:rPr>
              <w:t>4</w:t>
            </w:r>
          </w:p>
        </w:tc>
        <w:tc>
          <w:tcPr>
            <w:tcW w:type="dxa" w:w="1728"/>
          </w:tcPr>
          <w:p>
            <w:r>
              <w:rPr>
                <w:sz w:val="20"/>
              </w:rPr>
              <w:t>0</w:t>
            </w:r>
          </w:p>
        </w:tc>
        <w:tc>
          <w:tcPr>
            <w:tcW w:type="dxa" w:w="1728"/>
          </w:tcPr>
          <w:p>
            <w:r>
              <w:rPr>
                <w:sz w:val="20"/>
              </w:rPr>
              <w:t>4</w:t>
            </w:r>
          </w:p>
        </w:tc>
        <w:tc>
          <w:tcPr>
            <w:tcW w:type="dxa" w:w="1728"/>
          </w:tcPr>
          <w:p>
            <w:r>
              <w:rPr>
                <w:sz w:val="20"/>
              </w:rPr>
              <w:t>100.0%</w:t>
            </w:r>
          </w:p>
        </w:tc>
      </w:tr>
      <w:tr>
        <w:tc>
          <w:tcPr>
            <w:tcW w:type="dxa" w:w="1728"/>
          </w:tcPr>
          <w:p>
            <w:r>
              <w:rPr>
                <w:sz w:val="20"/>
              </w:rPr>
              <w:t>Flow + open</w:t>
            </w:r>
          </w:p>
        </w:tc>
        <w:tc>
          <w:tcPr>
            <w:tcW w:type="dxa" w:w="1728"/>
          </w:tcPr>
          <w:p>
            <w:r>
              <w:rPr>
                <w:sz w:val="20"/>
              </w:rPr>
              <w:t>27</w:t>
            </w:r>
          </w:p>
        </w:tc>
        <w:tc>
          <w:tcPr>
            <w:tcW w:type="dxa" w:w="1728"/>
          </w:tcPr>
          <w:p>
            <w:r>
              <w:rPr>
                <w:sz w:val="20"/>
              </w:rPr>
              <w:t>20</w:t>
            </w:r>
          </w:p>
        </w:tc>
        <w:tc>
          <w:tcPr>
            <w:tcW w:type="dxa" w:w="1728"/>
          </w:tcPr>
          <w:p>
            <w:r>
              <w:rPr>
                <w:sz w:val="20"/>
              </w:rPr>
              <w:t>47</w:t>
            </w:r>
          </w:p>
        </w:tc>
        <w:tc>
          <w:tcPr>
            <w:tcW w:type="dxa" w:w="1728"/>
          </w:tcPr>
          <w:p>
            <w:r>
              <w:rPr>
                <w:sz w:val="20"/>
              </w:rPr>
              <w:t>57.4%</w:t>
            </w:r>
          </w:p>
        </w:tc>
      </w:tr>
    </w:tbl>
    <w:p>
      <w:pPr>
        <w:spacing w:before="60"/>
      </w:pPr>
      <w:r>
        <w:rPr>
          <w:i/>
          <w:sz w:val="18"/>
        </w:rPr>
        <w:t>Note: Fisher exact tests (one-sided): stock + closed vs.\ flow + open, OR = 3.70, p = 0.045; within stock, closed vs.\ open, OR = 2.50, p = 0.187; within flow, closed vs.\ open, OR = ∞, p = 0.126.</w:t>
      </w:r>
    </w:p>
    <w:p/>
    <w:p>
      <w:r>
        <w:t>The pattern is consistent with the hypothesis that stock-orientation and network exclusion compound each other's risk, though the small cell sizes—particularly for flow + closed (n = 4)—warrant caution. The stock + closed combination is the only cell to reach a statistically significant difference from the baseline flow + open cell at conventional levels. Notably, 3 stock-oriented polities with closure survived despite their high-risk classification; their individual characteristics—including specific closure regimes, technology channels maintained, and the historical circumstances of their survival—are documented in Supplementary Table S1.</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Causal identification: what we can and cannot claim</w:t>
      </w:r>
    </w:p>
    <w:p>
      <w:r>
        <w:t>Section 6 reports the results of four complementary strategies for probing the causal status of the closure–conquest association. The evidence is mixed, and we summarize the picture honestly.</w:t>
      </w:r>
    </w:p>
    <w:p>
      <w:r>
        <w:t>The IV approach fails due to weak instrumentation (F = 0.58), rendering the 2SLS estimate uninformative. The PSM analysis produces a non-significant ATT (-0.118, p = 0.302), but this is consistent with the theoretical framework: if closure operates through institutional degradation and technological stagnation (rather than directly causing conquest), then conditioning on these mediating variables in the propensity score model absorbs the treatment effect. The PSM result thus does not contradict a causal interpretation so much as illustrate the difficulty of separating direct and mediated effects in a cross-sectional dataset.</w:t>
      </w:r>
    </w:p>
    <w:p>
      <w:r>
        <w:t>The natural experiment framing provides the strongest quasi-causal evidence. The seven technically excluded polities—whose disconnection was imposed by geography rather than chosen by policy—show a 100% conquest rate with no significant differences in observable covariates relative to open polities. The dose–response gradient (open 62.3% &lt; policy-closed 66.7% &lt; technically excluded 100%; Cochran–Armitage p = 0.054) is consistent with a causal pathway from technology flow disruption to state collapse. The E-value of 2.95 for the stock–flow OR indicates that an unmeasured confounder would need to be moderately strong to explain the observed association.</w:t>
      </w:r>
    </w:p>
    <w:p>
      <w:r>
        <w:t>We do not claim to have established causality in the strict counterfactual sense. What we have shown is that the closure–conquest association (i) survives multiple robustness checks, (ii) is not driven by any single polity (leave-one-out range [1.685, 1.935]), (iii) is consistent with a dose–response pattern tracking technology flow disruption, and (iv) is strongest among polities whose exclusion was plausibly exogenous. The main vulnerability is the sensitivity of the stock–flow OR to outcome definition (disrupted survived reverses the direction), which we address through the dual-assignment design.</w:t>
      </w:r>
    </w:p>
    <w:p>
      <w:pPr>
        <w:pStyle w:val="Heading2"/>
      </w:pPr>
      <w:r>
        <w:t>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the sensitivity of key results to outcome definition remains the most consequential limitation. Fifth, the forward-looking extension to modern technological exclusion is necessarily speculative, as the mechanisms operating in a nuclear-armed, institutionally dense modern world may differ qualitatively from those in premodern eras. Sixth, the IV and PSM strategies both face limitations inherent to cross-sectional historical data: the absence of strong instruments and the challenge of distinguishing direct from mediated effects in a single time-point design.</w:t>
      </w:r>
    </w:p>
    <w:p>
      <w:pPr>
        <w:pStyle w:val="Heading1"/>
      </w:pPr>
      <w:r>
        <w:t>Conclusion</w:t>
      </w:r>
    </w:p>
    <w:p>
      <w:r>
        <w:t>This paper has shown that reclassifying seven technically excluded polities—those severed from the dominant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any single network form.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 Equally pressing is the converse question suggested by the Tokugawa precedent: whether a state that recognizes the risk of network exclusion can, through deliberate maintenance of selective technology channels, prevent the accumulation of a fatal gap—even while restricting broader engagement with the outside world.</w:t>
      </w:r>
    </w:p>
    <w:p>
      <w:r>
        <w:br w:type="page"/>
      </w:r>
    </w:p>
    <w:p>
      <w:pPr>
        <w:pStyle w:val="Heading1"/>
      </w:pPr>
      <w:r>
        <w:t>Statements and Declarations</w:t>
      </w:r>
    </w:p>
    <w:p>
      <w:r>
        <w:rPr>
          <w:b/>
        </w:rPr>
        <w:t xml:space="preserve">Funding: </w:t>
      </w:r>
      <w:r>
        <w:t>[To be completed by author]</w:t>
      </w:r>
    </w:p>
    <w:p>
      <w:r>
        <w:rPr>
          <w:b/>
        </w:rPr>
        <w:t xml:space="preserve">Competing Interests: </w:t>
      </w:r>
      <w:r>
        <w:t>The author declares no competing interests.</w:t>
      </w:r>
    </w:p>
    <w:p>
      <w:r>
        <w:rPr>
          <w:b/>
        </w:rPr>
        <w:t xml:space="preserve">Data Availability: </w:t>
      </w:r>
      <w:r>
        <w:t>The complete dataset and analysis code are available at [repository URL]. Supplementary Table S1 provides the full dataset of 96 polities with all coded variables.</w:t>
      </w:r>
    </w:p>
    <w:p>
      <w:r>
        <w:rPr>
          <w:b/>
        </w:rPr>
        <w:t xml:space="preserve">JEL Classification: </w:t>
      </w:r>
      <w:r>
        <w:t>N40, N70, F50, O33, C12</w:t>
      </w:r>
    </w:p>
    <w:p>
      <w:r>
        <w:br w:type="page"/>
      </w:r>
    </w:p>
    <w:p>
      <w:pPr>
        <w:pStyle w:val="Heading1"/>
      </w:pPr>
      <w:r>
        <w:t>References</w:t>
      </w:r>
    </w:p>
    <w:p>
      <w:pPr>
        <w:spacing w:after="120"/>
        <w:ind w:hanging="720" w:left="720"/>
      </w:pPr>
      <w:r>
        <w:t>Acemoglu, Daron and Johnson, Simon and Robinson, James A.. Reversal of Fortune: Geography and Institutions in the Making of the Modern World Income Distribution. Quarterly Journal of Economics 117, 1231–1294, 2002. https://doi.org/10.1162/003355302320935025</w:t>
      </w:r>
    </w:p>
    <w:p>
      <w:pPr>
        <w:spacing w:after="120"/>
        <w:ind w:hanging="720" w:left="720"/>
      </w:pPr>
      <w:r>
        <w:t>Acemoglu, Daron and Restrepo, Pascual. Robots and Jobs: Evidence from US Labor Markets. Journal of Political Economy 128, 2188–2244, 2020. https://doi.org/10.1086/705716</w:t>
      </w:r>
    </w:p>
    <w:p>
      <w:pPr>
        <w:spacing w:after="120"/>
        <w:ind w:hanging="720" w:left="720"/>
      </w:pPr>
      <w:r>
        <w:t>Acemoglu, Daron and Robinson, James A.. Why Nations Fail: The Origins of Power, Prosperity, and Poverty. New York: Crown, 2012.</w:t>
      </w:r>
    </w:p>
    <w:p>
      <w:pPr>
        <w:spacing w:after="120"/>
        <w:ind w:hanging="720" w:left="720"/>
      </w:pPr>
      <w:r>
        <w:t>Angrist, Joshua D. and Imbens, Guido W. and Rubin, Donald B.. Identification of Causal Effects Using Instrumental Variables. Journal of the American Statistical Association 91, 444–455, 1996. https://doi.org/10.1080/01621459.1996.10476902</w:t>
      </w:r>
    </w:p>
    <w:p>
      <w:pPr>
        <w:spacing w:after="120"/>
        <w:ind w:hanging="720" w:left="720"/>
      </w:pPr>
      <w:r>
        <w:t>Comin, Diego and Easterly, William and Gong, Erick. Was the Wealth of Nations Determined in 1000 BC?. American Economic Journal: Macroeconomics 2(3), 65–97, 2010. https://doi.org/10.1257/mac.2.3.65</w:t>
      </w:r>
    </w:p>
    <w:p>
      <w:pPr>
        <w:spacing w:after="120"/>
        <w:ind w:hanging="720" w:left="720"/>
      </w:pPr>
      <w:r>
        <w:t>Comin, Diego and Mestieri, Martí. If Technology Has Arrived Everywhere, Why Has Income Diverged?. American Economic Journal: Macroeconomics 10(3), 137–178, 2018. https://doi.org/10.1257/mac.20150175</w:t>
      </w:r>
    </w:p>
    <w:p>
      <w:pPr>
        <w:spacing w:after="120"/>
        <w:ind w:hanging="720" w:left="720"/>
      </w:pPr>
      <w:r>
        <w:t>Diamond, Jared. Guns, Germs, and Steel: The Fates of Human Societies. New York: W.W. Norton, 1997.</w:t>
      </w:r>
    </w:p>
    <w:p>
      <w:pPr>
        <w:spacing w:after="120"/>
        <w:ind w:hanging="720" w:left="720"/>
      </w:pPr>
      <w:r>
        <w:t>Diamond, Jared and Bellwood, Peter. Farmers and Their Languages: The First Expansions. Science 300, 597–603, 2003. https://doi.org/10.1126/science.1078208</w:t>
      </w:r>
    </w:p>
    <w:p>
      <w:pPr>
        <w:spacing w:after="120"/>
        <w:ind w:hanging="720" w:left="720"/>
      </w:pPr>
      <w:r>
        <w:t>Findlay, Ronald and O'Rourke, Kevin H.. Power and Plenty: Trade, War, and the World Economy in the Second Millennium. Princeton: Princeton University Press, 2007.</w:t>
      </w:r>
    </w:p>
    <w:p>
      <w:pPr>
        <w:spacing w:after="120"/>
        <w:ind w:hanging="720" w:left="720"/>
      </w:pPr>
      <w:r>
        <w:t>Kennedy, Paul. The Rise and Fall of the Great Powers: Economic Change and Military Conflict from 1500 to 2000. New York: Random House, 1987.</w:t>
      </w:r>
    </w:p>
    <w:p>
      <w:pPr>
        <w:spacing w:after="120"/>
        <w:ind w:hanging="720" w:left="720"/>
      </w:pPr>
      <w:r>
        <w:t>Mokyr, Joel. The Gifts of Athena: Historical Origins of the Knowledge Economy. Princeton: Princeton University Press, 2002.</w:t>
      </w:r>
    </w:p>
    <w:p>
      <w:pPr>
        <w:spacing w:after="120"/>
        <w:ind w:hanging="720" w:left="720"/>
      </w:pPr>
      <w:r>
        <w:t>Nunn, Nathan. The Long-Term Effects of Africa's Slave Trades. Quarterly Journal of Economics 123, 139–176, 2008. https://doi.org/10.1162/qjec.2008.123.1.139</w:t>
      </w:r>
    </w:p>
    <w:p>
      <w:pPr>
        <w:spacing w:after="120"/>
        <w:ind w:hanging="720" w:left="720"/>
      </w:pPr>
      <w:r>
        <w:t>Pomeranz, Kenneth. The Great Divergence: China, Europe, and the Making of the Modern World Economy. Princeton: Princeton University Press, 2000.</w:t>
      </w:r>
    </w:p>
    <w:p>
      <w:pPr>
        <w:spacing w:after="120"/>
        <w:ind w:hanging="720" w:left="720"/>
      </w:pPr>
      <w:r>
        <w:t>Rosenbaum, Paul R. and Rubin, Donald B.. The Central Role of the Propensity Score in Observational Studies for Causal Effects. Biometrika 70, 41–55, 1983. https://doi.org/10.1093/biomet/70.1.41</w:t>
      </w:r>
    </w:p>
    <w:p>
      <w:pPr>
        <w:spacing w:after="120"/>
        <w:ind w:hanging="720" w:left="720"/>
      </w:pPr>
      <w:r>
        <w:t>Staiger, Douglas and Stock, James H.. Instrumental Variables Regression with Weak Instruments. Econometrica 65, 557–586, 1997. https://doi.org/10.2307/2171753</w:t>
      </w:r>
    </w:p>
    <w:p>
      <w:pPr>
        <w:spacing w:after="120"/>
        <w:ind w:hanging="720" w:left="720"/>
      </w:pPr>
      <w:r>
        <w:t>Tainter, Joseph A.. The Collapse of Complex Societies. Cambridge: Cambridge University Press, 1988.</w:t>
      </w:r>
    </w:p>
    <w:p>
      <w:pPr>
        <w:spacing w:after="120"/>
        <w:ind w:hanging="720" w:left="720"/>
      </w:pPr>
      <w:r>
        <w:t>Turchin, Peter. A Theory for Formation of Large Empires. Journal of Global History 4, 191–217, 2009. https://doi.org/10.1017/S1740022809003192</w:t>
      </w:r>
    </w:p>
    <w:p>
      <w:pPr>
        <w:spacing w:after="120"/>
        <w:ind w:hanging="720" w:left="720"/>
      </w:pPr>
      <w:r>
        <w:t>VanderWeele, Tyler J. and Ding, Peng. Sensitivity Analysis in Observational Research: Introducing the E-Value. Annals of Internal Medicine 167, 268–274, 2017. https://doi.org/10.7326/M16-2607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