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Hotter-than-normal days and traffic-crash mortality: a distributed-lag analysis of the United States and Japan and the question of under-recognised heat illness</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Summary</w:t>
      </w:r>
    </w:p>
    <w:p>
      <w:pPr>
        <w:spacing w:after="120" w:line="480" w:lineRule="auto"/>
      </w:pPr>
      <w:r>
        <w:rPr>
          <w:b/>
        </w:rPr>
        <w:t xml:space="preserve">Background </w:t>
      </w:r>
      <w:r>
        <w:t>Ambient heat is an established risk factor for mortality, and heat waves are increasing. Because driving continues in heat, some fatal crashes may involve heat-related impairment or undiagnosed heat illness that goes unrecorded. We estimated the population-level traffic-crash mortality burden of these under-recognised effects in the USA and Japan.</w:t>
      </w:r>
    </w:p>
    <w:p>
      <w:pPr>
        <w:spacing w:after="120" w:line="480" w:lineRule="auto"/>
      </w:pPr>
      <w:r>
        <w:rPr>
          <w:b/>
        </w:rPr>
        <w:t xml:space="preserve">Methods </w:t>
      </w:r>
      <w:r>
        <w:t>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w:t>
      </w:r>
    </w:p>
    <w:p>
      <w:pPr>
        <w:spacing w:after="120" w:line="480" w:lineRule="auto"/>
      </w:pPr>
      <w:r>
        <w:rPr>
          <w:b/>
        </w:rPr>
        <w:t xml:space="preserve">Findings </w:t>
      </w:r>
      <w:r>
        <w:t>In the USA (270,497 crash deaths), a +9°C anomaly was associated with higher same-day crash mortality, RR 1.165 (95% CI 1.134-1.196), essentially unchanged after adjusting for driving activity (RR 1.162). The excess was larger for open-air users (motorcyclists 2.141, pedestrians 1.213) than vehicle occupants (1.050). Net heat-attributable deaths were 513 per year (1.33%), similar to 527 officially recorded direct-heat deaths (ICD-10 X30); +1 to +3°C warming projected 339-983 additional deaths per year. In Japan (11,576 deaths) the data were too sparse for a precise estimate.</w:t>
      </w:r>
    </w:p>
    <w:p>
      <w:pPr>
        <w:spacing w:after="120" w:line="480" w:lineRule="auto"/>
      </w:pPr>
      <w:r>
        <w:rPr>
          <w:b/>
        </w:rPr>
        <w:t xml:space="preserve">Interpretation </w:t>
      </w:r>
      <w:r>
        <w:t>Unusually hot days are associated with an acute excess of US traffic-crash deaths comparable to all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Heat waves are becoming more frequent under climate change, and ambient heat is an established driver of mortality.</w:t>
      </w:r>
      <w:r>
        <w:rPr>
          <w:vertAlign w:val="superscript"/>
        </w:rPr>
        <w:t>1,2</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w:t>
      </w:r>
    </w:p>
    <w:p>
      <w:pPr>
        <w:pStyle w:val="Heading1"/>
      </w:pPr>
      <w:r>
        <w:t>Methods</w:t>
      </w:r>
    </w:p>
    <w:p>
      <w:pPr>
        <w:spacing w:after="40" w:line="480" w:lineRule="auto"/>
      </w:pPr>
      <w:r>
        <w:t>We built daily panels of traffic-crash deaths by US state (FARS, 2016-2022)</w:t>
      </w:r>
      <w:r>
        <w:rPr>
          <w:vertAlign w:val="superscript"/>
        </w:rPr>
        <w:t>3</w:t>
      </w:r>
      <w:r>
        <w:t xml:space="preserve"> and by Japanese prefecture (NPA accident open data, 2019-2024).</w:t>
      </w:r>
      <w:r>
        <w:rPr>
          <w:vertAlign w:val="superscript"/>
        </w:rPr>
        <w:t>4</w:t>
      </w:r>
      <w:r>
        <w:t xml:space="preserve"> Daily mean temperature was taken from GHCN-Daily stations</w:t>
      </w:r>
      <w:r>
        <w:rPr>
          <w:vertAlign w:val="superscript"/>
        </w:rPr>
        <w:t>5</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6</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vertAlign w:val="superscript"/>
        </w:rPr>
        <w:t>7</w:t>
      </w:r>
      <w:r>
        <w:t xml:space="preserve"> with Monte Carlo (MC) confidence intervals (CIs). As a sensitivity analysis for the US we added national vehicle-miles travelled (VMT)</w:t>
      </w:r>
      <w:r>
        <w:rPr>
          <w:vertAlign w:val="superscript"/>
        </w:rPr>
        <w:t>8</w:t>
      </w:r>
      <w:r>
        <w:t xml:space="preserve"> and finished-motor-gasoline product supplied</w:t>
      </w:r>
      <w:r>
        <w:rPr>
          <w:vertAlign w:val="superscript"/>
        </w:rPr>
        <w:t>9</w:t>
      </w:r>
      <w:r>
        <w:t xml:space="preserve"> as activity proxies. Officially recorded direct-heat deaths (International Classification of Diseases, 10th revision [ICD-10] code X30) were obtained from CDC WONDER.</w:t>
      </w:r>
      <w:r>
        <w:rPr>
          <w:vertAlign w:val="superscript"/>
        </w:rPr>
        <w:t>10</w:t>
      </w:r>
      <w:r>
        <w:t xml:space="preserve"> In three further US analyses we (i) refitted the same-day model within crash-hour bands to test whether the excess concentrates in the hottest hours; (ii) refitted it by road-user type (vehicle occupant, motorcyclist, pedestrian, cyclist) and age band from FARS person records, as a mechanistic and vulnerability analysis; and (iii) projected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mortality displacement (harvesting) rather than pure addition of deaths (Fig. 3; Table 2). The same-day association was essentially unchanged after adjusting for national vehicle-miles travelled and gasoline supplied (RR 1.162, 95% CI 1.132-1.193), suggesting that day-to-day driving volume alone does not explain the effect.</w:t>
      </w:r>
    </w:p>
    <w:p>
      <w:pPr>
        <w:spacing w:before="280"/>
      </w:pPr>
      <w:r>
        <w:rPr>
          <w:b/>
        </w:rPr>
        <w:t xml:space="preserve">Figure 3. </w:t>
      </w:r>
      <w:r>
        <w:t>United States lag structure of the crash-death response to a +9 °C anomaly: an acute same-day excess followed by a 1-3 day deficit consistent with short-term mortality displacement.</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larger for open-air users—motorcyclists, RR 2.141 (2.000-2.292); pedestrians, RR 1.213 (1.145-1.286); and cyclists, RR 1.237 (1.032-1.484)—a gradient consistent with direct bodily heat exposure and physical exertion,</w:t>
      </w:r>
      <w:r>
        <w:rPr>
          <w:vertAlign w:val="superscript"/>
        </w:rPr>
        <w:t>11</w:t>
      </w:r>
      <w:r>
        <w:t xml:space="preserve"> though it could also partly reflect greater discretionary open-air travel (motorcycling, cycling, walking) on hotter-than-normal days, which our aggregate activity proxies do not capture by mode. Across age bands the excess was of similar size: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all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Figure 7. </w:t>
      </w:r>
      <w:r>
        <w:t>United States comparison of estimated net heat-attributable crash deaths per year with officially recorded direct-heat deaths (ICD-10 X30) from CDC WONDER.</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12</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mortality displacement. These findings are consistent with heat-related impairment or under-recognised heat illness contributing to road deaths without appearing in cause-of-death data.</w:t>
      </w:r>
    </w:p>
    <w:p>
      <w:pPr>
        <w:spacing w:after="120" w:line="480" w:lineRule="auto"/>
      </w:pPr>
      <w:r>
        <w:t>Two features of the data are consistent with a direct heat effect rather than confounding by overall driving volume. The excess was graded by bodily heat exposure—minimal for enclosed, frequently air-conditioned vehicle occupants but several-fold larger for motorcyclists, pedestrians and cyclists, who are directly exposed and often physically exerting—and it was largest in the hottest hours of the day. Both are as expected when heat degrades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inference rests on a quasi-Poisson dispersion adjustment; residual serial correlation could still understate uncertainty.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all recorded direct-heat deaths, supporting the plausibility of an under-recognised heat contribution to road deaths. The Japanese data are too sparse for a firm conclusion.</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competing interests</w:t>
      </w:r>
    </w:p>
    <w:p>
      <w:pPr>
        <w:spacing w:after="120" w:line="480" w:lineRule="auto"/>
      </w:pPr>
      <w:r>
        <w:t>[PLACEHOLDER — replace before submission.] We declare no competing interests.</w:t>
      </w:r>
    </w:p>
    <w:p>
      <w:pPr>
        <w:pStyle w:val="Heading1"/>
      </w:pPr>
      <w:r>
        <w:t>Funding</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National Highway Traffic Safety Administration. Fatality Analysis Reporting System (FARS). US Department of Transportation. https://www.nhtsa.gov/research-data/fatality-analysis-reporting-system-fars</w:t>
      </w:r>
    </w:p>
    <w:p>
      <w:pPr>
        <w:spacing w:after="80"/>
      </w:pPr>
      <w:r>
        <w:t>4. National Police Agency of Japan. Traffic accident statistics open data. https://www.npa.go.jp/publications/statistics/koutsuu/opendata/</w:t>
      </w:r>
    </w:p>
    <w:p>
      <w:pPr>
        <w:spacing w:after="80"/>
      </w:pPr>
      <w:r>
        <w:t>5. Menne MJ, Durre I, Vose RS, Gleason BE, Houston TG. An overview of the Global Historical Climatology Network-Daily database. J Atmos Ocean Technol 2012;29:897-910.</w:t>
      </w:r>
    </w:p>
    <w:p>
      <w:pPr>
        <w:spacing w:after="80"/>
      </w:pPr>
      <w:r>
        <w:t>6. Gasparrini A, Armstrong B, Kenward MG. Distributed lag non-linear models. Stat Med 2010;29:2224-34.</w:t>
      </w:r>
    </w:p>
    <w:p>
      <w:pPr>
        <w:spacing w:after="80"/>
      </w:pPr>
      <w:r>
        <w:t>7. Gasparrini A, Leone M. Attributable risk from distributed lag models. BMC Med Res Methodol 2014;14:55.</w:t>
      </w:r>
    </w:p>
    <w:p>
      <w:pPr>
        <w:spacing w:after="80"/>
      </w:pPr>
      <w:r>
        <w:t>8. Federal Highway Administration. Traffic Volume Trends. https://www.fhwa.dot.gov/policyinformation/travel_monitoring/tvt.cfm</w:t>
      </w:r>
    </w:p>
    <w:p>
      <w:pPr>
        <w:spacing w:after="80"/>
      </w:pPr>
      <w:r>
        <w:t>9. US Energy Information Administration. Weekly finished motor gasoline product supplied (PET.WGFUPUS2.W). https://www.eia.gov/</w:t>
      </w:r>
    </w:p>
    <w:p>
      <w:pPr>
        <w:spacing w:after="80"/>
      </w:pPr>
      <w:r>
        <w:t>10. Centers for Disease Control and Prevention. CDC WONDER Underlying Cause of Death database. https://wonder.cdc.gov/</w:t>
      </w:r>
    </w:p>
    <w:p>
      <w:pPr>
        <w:spacing w:after="80"/>
      </w:pPr>
      <w:r>
        <w:t>11. Daanen HAM, van de Vliert E, Huang X. Driving performance in cold, warm, and thermoneutral environments. Appl Ergon 2003;34:597-602.</w:t>
      </w:r>
    </w:p>
    <w:p>
      <w:pPr>
        <w:spacing w:after="80"/>
      </w:pPr>
      <w:r>
        <w:t>12.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