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(editable)</w:t>
      </w:r>
    </w:p>
    <w:p>
      <w:pPr>
        <w:spacing w:before="280"/>
      </w:pPr>
      <w:r>
        <w:rPr>
          <w:b/>
        </w:rPr>
        <w:t xml:space="preserve">Table 1. </w:t>
      </w:r>
      <w:r>
        <w:t>Panel description and model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Crash deaths</w:t>
            </w:r>
          </w:p>
        </w:tc>
        <w:tc>
          <w:tcPr>
            <w:tcW w:type="dxa" w:w="2880"/>
          </w:tcPr>
          <w:p>
            <w:r>
              <w:t>270,497</w:t>
            </w:r>
          </w:p>
        </w:tc>
        <w:tc>
          <w:tcPr>
            <w:tcW w:type="dxa" w:w="2880"/>
          </w:tcPr>
          <w:p>
            <w:r>
              <w:t>11,576</w:t>
            </w:r>
          </w:p>
        </w:tc>
      </w:tr>
      <w:tr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Spatial units</w:t>
            </w:r>
          </w:p>
        </w:tc>
        <w:tc>
          <w:tcPr>
            <w:tcW w:type="dxa" w:w="2880"/>
          </w:tcPr>
          <w:p>
            <w:r>
              <w:t>50 states</w:t>
            </w:r>
          </w:p>
        </w:tc>
        <w:tc>
          <w:tcPr>
            <w:tcW w:type="dxa" w:w="2880"/>
          </w:tcPr>
          <w:p>
            <w:r>
              <w:t>47 prefectures</w:t>
            </w:r>
          </w:p>
        </w:tc>
      </w:tr>
      <w:tr>
        <w:tc>
          <w:tcPr>
            <w:tcW w:type="dxa" w:w="2880"/>
          </w:tcPr>
          <w:p>
            <w:r>
              <w:t>Dispersion (phi)</w:t>
            </w:r>
          </w:p>
        </w:tc>
        <w:tc>
          <w:tcPr>
            <w:tcW w:type="dxa" w:w="2880"/>
          </w:tcPr>
          <w:p>
            <w:r>
              <w:t>1.23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</w:tr>
    </w:tbl>
    <w:p/>
    <w:p>
      <w:pPr>
        <w:spacing w:before="280"/>
      </w:pPr>
      <w:r>
        <w:rPr>
          <w:b/>
        </w:rPr>
        <w:t xml:space="preserve">Table 2. </w:t>
      </w:r>
      <w:r>
        <w:t>Rate ratio of traffic-crash deaths for a +9 °C temperature anomaly, by lag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Lag window (days)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0 (same day)</w:t>
            </w:r>
          </w:p>
        </w:tc>
        <w:tc>
          <w:tcPr>
            <w:tcW w:type="dxa" w:w="2880"/>
          </w:tcPr>
          <w:p>
            <w:r>
              <w:t>1.165 (1.134-1.196)</w:t>
            </w:r>
          </w:p>
        </w:tc>
        <w:tc>
          <w:tcPr>
            <w:tcW w:type="dxa" w:w="2880"/>
          </w:tcPr>
          <w:p>
            <w:r>
              <w:t>0.940 (0.743-1.190)</w:t>
            </w:r>
          </w:p>
        </w:tc>
      </w:tr>
      <w:tr>
        <w:tc>
          <w:tcPr>
            <w:tcW w:type="dxa" w:w="2880"/>
          </w:tcPr>
          <w:p>
            <w:r>
              <w:t>1-3</w:t>
            </w:r>
          </w:p>
        </w:tc>
        <w:tc>
          <w:tcPr>
            <w:tcW w:type="dxa" w:w="2880"/>
          </w:tcPr>
          <w:p>
            <w:r>
              <w:t>0.934 (0.902-0.967)</w:t>
            </w:r>
          </w:p>
        </w:tc>
        <w:tc>
          <w:tcPr>
            <w:tcW w:type="dxa" w:w="2880"/>
          </w:tcPr>
          <w:p>
            <w:r>
              <w:t>1.146 (0.739-1.779)</w:t>
            </w:r>
          </w:p>
        </w:tc>
      </w:tr>
      <w:tr>
        <w:tc>
          <w:tcPr>
            <w:tcW w:type="dxa" w:w="2880"/>
          </w:tcPr>
          <w:p>
            <w:r>
              <w:t>4-10</w:t>
            </w:r>
          </w:p>
        </w:tc>
        <w:tc>
          <w:tcPr>
            <w:tcW w:type="dxa" w:w="2880"/>
          </w:tcPr>
          <w:p>
            <w:r>
              <w:t>0.988 (0.941-1.037)</w:t>
            </w:r>
          </w:p>
        </w:tc>
        <w:tc>
          <w:tcPr>
            <w:tcW w:type="dxa" w:w="2880"/>
          </w:tcPr>
          <w:p>
            <w:r>
              <w:t>0.521 (0.217-1.249)</w:t>
            </w:r>
          </w:p>
        </w:tc>
      </w:tr>
      <w:tr>
        <w:tc>
          <w:tcPr>
            <w:tcW w:type="dxa" w:w="2880"/>
          </w:tcPr>
          <w:p>
            <w:r>
              <w:t>Cumulative 0-10</w:t>
            </w:r>
          </w:p>
        </w:tc>
        <w:tc>
          <w:tcPr>
            <w:tcW w:type="dxa" w:w="2880"/>
          </w:tcPr>
          <w:p>
            <w:r>
              <w:t>1.074 (95% CI 1.015-1.137)</w:t>
            </w:r>
          </w:p>
        </w:tc>
        <w:tc>
          <w:tcPr>
            <w:tcW w:type="dxa" w:w="2880"/>
          </w:tcPr>
          <w:p>
            <w:r>
              <w:t>0.562 (95% CI 0.207-1.525)</w:t>
            </w:r>
          </w:p>
        </w:tc>
      </w:tr>
    </w:tbl>
    <w:p/>
    <w:p>
      <w:pPr>
        <w:spacing w:before="280"/>
      </w:pPr>
      <w:r>
        <w:rPr>
          <w:b/>
        </w:rPr>
        <w:t xml:space="preserve">Table 3. </w:t>
      </w:r>
      <w:r>
        <w:t>United States same-day rate ratio of crash death for a +9 °C anomaly, by road-user type and age band (vulnerability analysis).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Vehicle occupant</w:t>
            </w:r>
          </w:p>
        </w:tc>
        <w:tc>
          <w:tcPr>
            <w:tcW w:type="dxa" w:w="2880"/>
          </w:tcPr>
          <w:p>
            <w:r>
              <w:t>178,365</w:t>
            </w:r>
          </w:p>
        </w:tc>
        <w:tc>
          <w:tcPr>
            <w:tcW w:type="dxa" w:w="2880"/>
          </w:tcPr>
          <w:p>
            <w:r>
              <w:t>1.050 (1.016-1.085)</w:t>
            </w:r>
          </w:p>
        </w:tc>
      </w:tr>
      <w:tr>
        <w:tc>
          <w:tcPr>
            <w:tcW w:type="dxa" w:w="2880"/>
          </w:tcPr>
          <w:p>
            <w:r>
              <w:t>Motorcyclist</w:t>
            </w:r>
          </w:p>
        </w:tc>
        <w:tc>
          <w:tcPr>
            <w:tcW w:type="dxa" w:w="2880"/>
          </w:tcPr>
          <w:p>
            <w:r>
              <w:t>38,248</w:t>
            </w:r>
          </w:p>
        </w:tc>
        <w:tc>
          <w:tcPr>
            <w:tcW w:type="dxa" w:w="2880"/>
          </w:tcPr>
          <w:p>
            <w:r>
              <w:t>2.141 (2.000-2.292)</w:t>
            </w:r>
          </w:p>
        </w:tc>
      </w:tr>
      <w:tr>
        <w:tc>
          <w:tcPr>
            <w:tcW w:type="dxa" w:w="2880"/>
          </w:tcPr>
          <w:p>
            <w:r>
              <w:t>Pedestrian</w:t>
            </w:r>
          </w:p>
        </w:tc>
        <w:tc>
          <w:tcPr>
            <w:tcW w:type="dxa" w:w="2880"/>
          </w:tcPr>
          <w:p>
            <w:r>
              <w:t>46,022</w:t>
            </w:r>
          </w:p>
        </w:tc>
        <w:tc>
          <w:tcPr>
            <w:tcW w:type="dxa" w:w="2880"/>
          </w:tcPr>
          <w:p>
            <w:r>
              <w:t>1.213 (1.145-1.286)</w:t>
            </w:r>
          </w:p>
        </w:tc>
      </w:tr>
      <w:tr>
        <w:tc>
          <w:tcPr>
            <w:tcW w:type="dxa" w:w="2880"/>
          </w:tcPr>
          <w:p>
            <w:r>
              <w:t>Cyclist</w:t>
            </w:r>
          </w:p>
        </w:tc>
        <w:tc>
          <w:tcPr>
            <w:tcW w:type="dxa" w:w="2880"/>
          </w:tcPr>
          <w:p>
            <w:r>
              <w:t>6,356</w:t>
            </w:r>
          </w:p>
        </w:tc>
        <w:tc>
          <w:tcPr>
            <w:tcW w:type="dxa" w:w="2880"/>
          </w:tcPr>
          <w:p>
            <w:r>
              <w:t>1.237 (1.032-1.484)</w:t>
            </w:r>
          </w:p>
        </w:tc>
      </w:tr>
      <w:tr>
        <w:tc>
          <w:tcPr>
            <w:tcW w:type="dxa" w:w="2880"/>
          </w:tcPr>
          <w:p>
            <w:r>
              <w:t>Age &lt;25 y</w:t>
            </w:r>
          </w:p>
        </w:tc>
        <w:tc>
          <w:tcPr>
            <w:tcW w:type="dxa" w:w="2880"/>
          </w:tcPr>
          <w:p>
            <w:r>
              <w:t>54,003</w:t>
            </w:r>
          </w:p>
        </w:tc>
        <w:tc>
          <w:tcPr>
            <w:tcW w:type="dxa" w:w="2880"/>
          </w:tcPr>
          <w:p>
            <w:r>
              <w:t>1.123 (1.059-1.191)</w:t>
            </w:r>
          </w:p>
        </w:tc>
      </w:tr>
      <w:tr>
        <w:tc>
          <w:tcPr>
            <w:tcW w:type="dxa" w:w="2880"/>
          </w:tcPr>
          <w:p>
            <w:r>
              <w:t>Age 25-64 y</w:t>
            </w:r>
          </w:p>
        </w:tc>
        <w:tc>
          <w:tcPr>
            <w:tcW w:type="dxa" w:w="2880"/>
          </w:tcPr>
          <w:p>
            <w:r>
              <w:t>166,699</w:t>
            </w:r>
          </w:p>
        </w:tc>
        <w:tc>
          <w:tcPr>
            <w:tcW w:type="dxa" w:w="2880"/>
          </w:tcPr>
          <w:p>
            <w:r>
              <w:t>1.177 (1.140-1.216)</w:t>
            </w:r>
          </w:p>
        </w:tc>
      </w:tr>
      <w:tr>
        <w:tc>
          <w:tcPr>
            <w:tcW w:type="dxa" w:w="2880"/>
          </w:tcPr>
          <w:p>
            <w:r>
              <w:t>Age 65+ y</w:t>
            </w:r>
          </w:p>
        </w:tc>
        <w:tc>
          <w:tcPr>
            <w:tcW w:type="dxa" w:w="2880"/>
          </w:tcPr>
          <w:p>
            <w:r>
              <w:t>49,680</w:t>
            </w:r>
          </w:p>
        </w:tc>
        <w:tc>
          <w:tcPr>
            <w:tcW w:type="dxa" w:w="2880"/>
          </w:tcPr>
          <w:p>
            <w:r>
              <w:t>1.167 (1.104-1.234)</w:t>
            </w:r>
          </w:p>
        </w:tc>
      </w:tr>
    </w:tbl>
    <w:p/>
    <w:p>
      <w:pPr>
        <w:spacing w:before="280"/>
      </w:pPr>
      <w:r>
        <w:rPr>
          <w:b/>
        </w:rPr>
        <w:t xml:space="preserve">Table 4. </w:t>
      </w:r>
      <w:r>
        <w:t>United States net heat-attributable crash deaths versus officially recorded direct-heat deaths.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4320"/>
          </w:tcPr>
          <w:p>
            <w:r>
              <w:t>Net heat-attributable crash deaths / year</w:t>
            </w:r>
          </w:p>
        </w:tc>
        <w:tc>
          <w:tcPr>
            <w:tcW w:type="dxa" w:w="4320"/>
          </w:tcPr>
          <w:p>
            <w:r>
              <w:t>513</w:t>
            </w:r>
          </w:p>
        </w:tc>
      </w:tr>
      <w:tr>
        <w:tc>
          <w:tcPr>
            <w:tcW w:type="dxa" w:w="4320"/>
          </w:tcPr>
          <w:p>
            <w:r>
              <w:t>Attributable fraction (%)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  <w:tr>
        <w:tc>
          <w:tcPr>
            <w:tcW w:type="dxa" w:w="4320"/>
          </w:tcPr>
          <w:p>
            <w:r>
              <w:t>Official direct-heat deaths / year (X30, 2016-2020)</w:t>
            </w:r>
          </w:p>
        </w:tc>
        <w:tc>
          <w:tcPr>
            <w:tcW w:type="dxa" w:w="4320"/>
          </w:tcPr>
          <w:p>
            <w:r>
              <w:t>527</w:t>
            </w:r>
          </w:p>
        </w:tc>
      </w:tr>
    </w:tbl>
    <w:p/>
    <w:p>
      <w:pPr>
        <w:spacing w:before="280"/>
      </w:pPr>
      <w:r>
        <w:rPr>
          <w:b/>
        </w:rPr>
        <w:t xml:space="preserve">Table 5. </w:t>
      </w:r>
      <w:r>
        <w:t>United States projected additional traffic-crash deaths per year under uniform warming (activity held constant); scenario projection, not observed.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Warming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deaths/year (95% CI)</w:t>
            </w:r>
          </w:p>
        </w:tc>
      </w:tr>
      <w:tr>
        <w:tc>
          <w:tcPr>
            <w:tcW w:type="dxa" w:w="4320"/>
          </w:tcPr>
          <w:p>
            <w:r>
              <w:t>+1°C</w:t>
            </w:r>
          </w:p>
        </w:tc>
        <w:tc>
          <w:tcPr>
            <w:tcW w:type="dxa" w:w="4320"/>
          </w:tcPr>
          <w:p>
            <w:r>
              <w:t>339 (250-428)</w:t>
            </w:r>
          </w:p>
        </w:tc>
      </w:tr>
      <w:tr>
        <w:tc>
          <w:tcPr>
            <w:tcW w:type="dxa" w:w="4320"/>
          </w:tcPr>
          <w:p>
            <w:r>
              <w:t>+2°C</w:t>
            </w:r>
          </w:p>
        </w:tc>
        <w:tc>
          <w:tcPr>
            <w:tcW w:type="dxa" w:w="4320"/>
          </w:tcPr>
          <w:p>
            <w:r>
              <w:t>661 (459-864)</w:t>
            </w:r>
          </w:p>
        </w:tc>
      </w:tr>
      <w:tr>
        <w:tc>
          <w:tcPr>
            <w:tcW w:type="dxa" w:w="4320"/>
          </w:tcPr>
          <w:p>
            <w:r>
              <w:t>+3°C</w:t>
            </w:r>
          </w:p>
        </w:tc>
        <w:tc>
          <w:tcPr>
            <w:tcW w:type="dxa" w:w="4320"/>
          </w:tcPr>
          <w:p>
            <w:r>
              <w:t>983 (644-1356)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