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Archaic-like segments around the ABO blood-group locus have been proposed as clues to blood-group history and human dispersal, but their interpretation lacks a genome-wide geographic baseline. We tested whether population-level genomic profiles of inferred Neanderthal- and Denisovan-like segments become less similar with geographic distance. Materials and Methods: High-confidence hmmix calls from 3,134 individuals in 66 populations were summarized in 500-kb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We also tested robustness to alternative genomic windows, similarity metrics, sample-size thresholds, datasets, co-located pairs, and regional omission. A secondary analysis of the ABO-centered interval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hmmix segment calls from 1000 Genomes and HGDP samples in Zenodo record 14136628. Hmmix detects candidate archaic sequence without requiring an unadmixed modern outgroup (Skov et al. 2018). Source population definitions followed the 1000 Genomes and HGDP resources (1000 Genomes Project Consortium 2015; Bergström et al. 2020).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(PUR, CLM, MXL, or PEL),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GRCh38 as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AJBA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 Table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Schematic dispersal context</w:t>
      </w:r>
    </w:p>
    <w:p>
      <w:pPr>
        <w:ind w:firstLine="432"/>
      </w:pPr>
      <w:r>
        <w:rPr>
          <w:rFonts w:ascii="Times New Roman" w:hAnsi="Times New Roman"/>
          <w:i w:val="0"/>
          <w:sz w:val="24"/>
        </w:rPr>
        <w:t>A polygon-based Minard diagram retains the dispersal and archaic-introgression context developed for the earlier BioEssays version (Figure 3). Band widths, branch positions, and event placement are schematic and are not estimates from the present pairwise analysis.</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4). Window-size results at 250 kb, 500 kb, and 1 Mb are shown in Figure S2.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ABO-related and global contextual figures</w:t>
      </w:r>
    </w:p>
    <w:p>
      <w:pPr>
        <w:ind w:firstLine="432"/>
      </w:pPr>
      <w:r>
        <w:rPr>
          <w:rFonts w:ascii="Times New Roman" w:hAnsi="Times New Roman"/>
          <w:i w:val="0"/>
          <w:sz w:val="24"/>
        </w:rPr>
        <w:t>The O2-defining allele and ABO-window carrier summaries use different sources and are displayed descriptively rather than as an association analysis (Figure 6). The Ancient North Eurasian pathway is retained as a testable contextual hypothesis, not a route inferred from the two Indigenous American segment records (Figure 7). Ancient and modern ABO-window observations were produced by different pipelines and permit no formal temporal comparison (Figure 8). A literature-derived global bivariate map provides broad Neanderthal and Denisovan ancestry context; its approximate values were not used in the statistical models (Figure 9).</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should replace all values from the earlier prototype analysis.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Polygon-based 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4. </w:t>
      </w:r>
      <w:r>
        <w:t>Descriptive distance correlations across population, sample-size, dataset, zero-distance, and leave-one-continent-out sensitivities.</w:t>
      </w:r>
    </w:p>
    <w:p>
      <w:pPr>
        <w:spacing w:line="360" w:lineRule="auto" w:after="160"/>
      </w:pPr>
      <w:r>
        <w:rPr>
          <w:b/>
        </w:rPr>
        <w:t xml:space="preserve">Figure 5. </w:t>
      </w:r>
      <w:r>
        <w:t>Secondary ABO-centered analysis. Closest-reference counts retain tied maxima. The Pima segment overlaps ABO; the Maya segment is within the wider interval but does not overlap the gene. Counts are segments, not regional frequencies.</w:t>
      </w:r>
    </w:p>
    <w:p>
      <w:pPr>
        <w:spacing w:line="360" w:lineRule="auto" w:after="160"/>
      </w:pPr>
      <w:r>
        <w:rPr>
          <w:b/>
        </w:rPr>
        <w:t xml:space="preserve">Figure 6. </w:t>
      </w:r>
      <w:r>
        <w:t>O2-defining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7.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8. </w:t>
      </w:r>
      <w:r>
        <w:t>Descriptive ancient and modern ABO-window summaries generated by different pipelines; no formal temporal comparison is made.</w:t>
      </w:r>
    </w:p>
    <w:p>
      <w:pPr>
        <w:spacing w:line="360" w:lineRule="auto" w:after="160"/>
      </w:pPr>
      <w:r>
        <w:rPr>
          <w:b/>
        </w:rPr>
        <w:t xml:space="preserve">Figure 9. </w:t>
      </w:r>
      <w:r>
        <w:t>Literature-derived global context. Circle size represents approximate Neanderthal ancestry and color intensity represents approximate Denisovan ancestry. Values were not used in the pairwise statistical models.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Descriptive geographic distance correlations at 250-kb, 500-kb, and 1-Mb window sizes; QAP results are tabulated in Supplementary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