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specialty-level physician workforce in Japan, 2008–2024: a rate-based analysis with equivalence testing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 (email: [corresponding author email])</w:t>
      </w:r>
    </w:p>
    <w:p>
      <w:pPr>
        <w:jc w:val="center"/>
      </w:pPr>
      <w:r>
        <w:rPr>
          <w:rFonts w:ascii="Times New Roman" w:hAnsi="Times New Roman"/>
          <w:sz w:val="24"/>
        </w:rPr>
        <w:t>Word count (main text): approximately 2973 words (excluding abstract, references, declarations, tables and figure legends)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Healthcare Analytics (Elsevier)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2  Supplementary tables: 4  Supplementary figures: 2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