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図1.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図2. ECD実運用パイプラインの4ステップ。LiNGAMブートストラップ→DPIスペクトル解析→Hodge分解→介入可能性スコアリング。</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r/>
      <w:r>
        <w:rPr>
          <w:b/>
        </w:rPr>
        <w:t>図2</w:t>
      </w:r>
      <w:r>
        <w:t>: ECD実運用パイプラインの4ステップ。ステップ1: LiNGAMブートストラップ（1000回）により因果DAGと辺信頼度を産出。ステップ2: DPI拡張スペクトル解析で有向循環グラフを構築。ステップ3: Hodge分解で勾配（DAG）と回転（フィードバック）成分を分離し、因果ポテンシャルφを算出。ステップ4: 介入可能性スコアリングでφを臨床的行動可能性ιにマッピング。下部: アンサンブルが達成するHillの9基準カバレッジ。</w:t>
      </w:r>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pPr>
        <w:spacing w:before="240"/>
        <w:jc w:val="center"/>
      </w:pPr>
      <w:r>
        <w:drawing>
          <wp:inline xmlns:a="http://schemas.openxmlformats.org/drawingml/2006/main" xmlns:pic="http://schemas.openxmlformats.org/drawingml/2006/picture">
            <wp:extent cx="5029200" cy="3333702"/>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3702"/>
                    </a:xfrm>
                    <a:prstGeom prst="rect"/>
                  </pic:spPr>
                </pic:pic>
              </a:graphicData>
            </a:graphic>
          </wp:inline>
        </w:drawing>
      </w:r>
    </w:p>
    <w:p>
      <w:pPr>
        <w:spacing w:before="80" w:after="240"/>
        <w:jc w:val="center"/>
      </w:pPr>
      <w:r>
        <w:rPr>
          <w:i/>
          <w:sz w:val="18"/>
        </w:rPr>
        <w:t>図3. 因果ポテンシャルφ vs 臨床的介入可能性ι。φとιの逆相関が数理量と臨床的行動可能性の対応を実証。</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r/>
      <w:r>
        <w:rPr>
          <w:b/>
        </w:rPr>
        <w:t>図3</w:t>
      </w:r>
      <w:r>
        <w:t>: 因果ポテンシャルφ vs 臨床的介入可能性ι。5変数すべてをプロット。年齢（最上流、φ = 0）は介入可能性ゼロ。コレステロールと安静時血圧（下流）は高い介入可能性（ι = 0.9、0.8）を持ち、確立された薬理学的介入（スタチン、降圧薬）が存在する。φとιの逆相関は数理的量が自然に臨床的行動可能性に対応することを実証。</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276669"/>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276669"/>
                    </a:xfrm>
                    <a:prstGeom prst="rect"/>
                  </pic:spPr>
                </pic:pic>
              </a:graphicData>
            </a:graphic>
          </wp:inline>
        </w:drawing>
      </w:r>
    </w:p>
    <w:p>
      <w:pPr>
        <w:spacing w:before="80" w:after="240"/>
        <w:jc w:val="center"/>
      </w:pPr>
      <w:r>
        <w:rPr>
          <w:i/>
          <w:sz w:val="18"/>
        </w:rPr>
        <w:t>図4.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コレステロール（図4）。</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図5. 3手法による因果方向比較。全辺ペアでの一致・不一致。</w:t>
      </w:r>
    </w:p>
    <w:p>
      <w:r>
        <w:t>LiNGAM（DAG）、スペクトル因果性（α = 0.6）、DPI（α = 0）で推定された因果方向の比較（図5）：</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図6. LiNGAM DAG（左）vs スペクトル因果性DCG（右）。破線：フィードバック辺。</w:t>
      </w:r>
    </w:p>
    <w:p>
      <w:r>
        <w:t>スペクトル因果性がLiNGAMと逆方向を示唆する場合（図6）、それは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し（図7）、臨床医がどの循環を保持するかについて情報に基づく判断を可能にする。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図7.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r/>
      <w:r>
        <w:rPr>
          <w:b/>
        </w:rPr>
        <w:t>図8</w:t>
      </w:r>
      <w:r>
        <w:t>: Hodge分解による辺レベルフィードバック率の臨床フィードバックネットワーク。緑実線: 一方向辺（フィードバック&lt;10%）。オレンジ破線: 弱フィードバック（10–50%）。赤太線: 強フィードバック（&gt;50%）。MaxHR ↔ STDep辺（73%）はDAG仮定が見落とす運動–虚血フィードバックループ。ノード注釈は介入可能性スコアι。</w:t>
      </w:r>
    </w:p>
    <w:p>
      <w:pPr>
        <w:pStyle w:val="Heading2"/>
      </w:pPr>
      <w:r>
        <w:t>8.3 目的別プルーニング閾値</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図8. 臨床フィードバックネットワーク。辺色: 緑=一方向、オレンジ=弱フィードバック、赤=強フィードバック。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