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帝王切開術中の嘔気嘔吐（IONV）に対する双胎妊娠の影響：</w:t>
        <w:br/>
        <w:t>予定手術・低リスク症例に限定した感度分析</w:t>
      </w:r>
    </w:p>
    <w:p/>
    <w:p>
      <w:pPr>
        <w:pStyle w:val="Heading1"/>
      </w:pPr>
      <w:r>
        <w:rPr>
          <w:color w:val="000000"/>
        </w:rPr>
        <w:t>方法</w:t>
      </w:r>
    </w:p>
    <w:p>
      <w:pPr>
        <w:pStyle w:val="Heading2"/>
      </w:pPr>
      <w:r>
        <w:rPr>
          <w:color w:val="000000"/>
        </w:rPr>
        <w:t>研究デザイン・対象</w:t>
      </w:r>
    </w:p>
    <w:p>
      <w:r>
        <w:t>2014年1月から2024年12月までに当院で帝王切開術を受けた3,479例（単胎3,113例、双胎366例を含む）を後方視的に検討した。</w:t>
      </w:r>
    </w:p>
    <w:p>
      <w:r>
        <w:t>除外基準は、全身麻酔症例、入室時収縮期血圧（SBP）90 mmHg未満、子宮内胎児死亡（IUFD）、vanishing twin、品胎、および麻酔記録のデータ欠損とした。さらに、麻酔開始前に制吐薬が投与された症例は予防的投与とみなし解析から除外した。</w:t>
      </w:r>
    </w:p>
    <w:p>
      <w:r>
        <w:t>上記基準による解析対象は3,188例（単胎2,846例、双胎342例）であった。</w:t>
      </w:r>
    </w:p>
    <w:p>
      <w:pPr>
        <w:pStyle w:val="Heading2"/>
      </w:pPr>
      <w:r>
        <w:rPr>
          <w:color w:val="000000"/>
        </w:rPr>
        <w:t>追加除外基準（感度分析）</w:t>
      </w:r>
    </w:p>
    <w:p>
      <w:r>
        <w:t>IONVに影響しうる産科合併症・手術関連因子の交絡を排除するため、以下の4条件に該当する症例をさらに除外した：</w:t>
        <w:br/>
        <w:t>（1）緊急帝王切開、（2）帝王切開の既往、（3）妊娠高血圧症候群（HDP）、（4）術前1週間以内のステロイド使用。</w:t>
      </w:r>
    </w:p>
    <w:p>
      <w:r>
        <w:t>追加除外により2,525例（単胎2,367例、双胎158例）が除外され、最終解析対象は663例（単胎479例、双胎184例）であった。</w:t>
      </w:r>
    </w:p>
    <w:p>
      <w:r>
        <w:t>除外内訳：緊急帝王切開1,452例、帝王切開既往1,320例、HDP 317例、術前ステロイド232例（重複あり）。</w:t>
      </w:r>
    </w:p>
    <w:p>
      <w:pPr>
        <w:pStyle w:val="Heading2"/>
      </w:pPr>
      <w:r>
        <w:rPr>
          <w:color w:val="000000"/>
        </w:rPr>
        <w:t>評価項目</w:t>
      </w:r>
    </w:p>
    <w:p>
      <w:r>
        <w:t>IONVの定義として、制吐薬全般の使用を指標とする広義の定義に加え、5-HT3受容体拮抗薬の使用に限定した狭義の定義による追加解析を実施した。</w:t>
      </w:r>
    </w:p>
    <w:p>
      <w:r>
        <w:rPr>
          <w:b/>
        </w:rPr>
        <w:t>【制吐薬（広義）】</w:t>
      </w:r>
    </w:p>
    <w:p>
      <w:r>
        <w:t>主要評価項目：麻酔開始から退室までのいずれかの時点で制吐薬が投与された場合をIONVと定義した（メトクロプラミド、ドロペリドール、オンダンセトロン、グラニセトロン、ノバミン、アタラックスP、デキサメタゾンの7剤）。</w:t>
        <w:br/>
        <w:t>副次評価項目：麻酔開始から胎児娩出までの制吐薬投与のみをIONVと定義した。</w:t>
      </w:r>
    </w:p>
    <w:p>
      <w:r>
        <w:rPr>
          <w:b/>
        </w:rPr>
        <w:t>【制吐薬（狭義）：5-HT3受容体拮抗薬】</w:t>
      </w:r>
    </w:p>
    <w:p>
      <w:r>
        <w:t>上記7剤のうち、嘔気嘔吐に対する特異性が高い5-HT3受容体拮抗薬（オンダンセトロンまたはグラニセトロン）の投与のみをIONVの指標とした。</w:t>
      </w:r>
    </w:p>
    <w:p>
      <w:pPr>
        <w:pStyle w:val="Heading2"/>
      </w:pPr>
      <w:r>
        <w:rPr>
          <w:color w:val="000000"/>
        </w:rPr>
        <w:t>統計解析</w:t>
      </w:r>
    </w:p>
    <w:p>
      <w:r>
        <w:t>連続変数は中央値[四分位範囲]で示し、Mann-Whitney U検定で比較した。カテゴリー変数は例数（%）で示し、χ²検定またはFisherの正確検定（期待度数5未満のセルが存在する場合）で比較した。</w:t>
      </w:r>
    </w:p>
    <w:p>
      <w:r>
        <w:t>IONVの独立した危険因子を評価するため、多変量ロジスティック回帰分析を実施した。共変量は年齢、BMI、在胎週数、硬膜外麻酔、手術時間、低血圧（SBP 90 mmHg未満）、および双胎とした（7変数）。イベント数が共変量数の10倍に満たない場合は、共変量を5変数（双胎、年齢、BMI、在胎週数、低血圧）に縮小した。結果は調整済みオッズ比（aOR）と95%信頼区間（CI）で報告した。</w:t>
      </w:r>
    </w:p>
    <w:p>
      <w:r>
        <w:t>制吐薬（狭義）の結果の頑健性を検証するため、共変量感度分析を行い、各共変量の追加・除外が双胎の効果推定値に与える影響を系統的に評価した。</w:t>
      </w:r>
    </w:p>
    <w:p>
      <w:r>
        <w:t>統計解析はPython 3.12（scipy 1.14, statsmodels 0.14）を用い、有意水準は両側5%とした。</w:t>
      </w:r>
    </w:p>
    <w:p>
      <w:pPr>
        <w:pStyle w:val="Heading1"/>
      </w:pPr>
      <w:r>
        <w:rPr>
          <w:color w:val="000000"/>
        </w:rPr>
        <w:t>結果</w:t>
      </w:r>
    </w:p>
    <w:p>
      <w:pPr>
        <w:pStyle w:val="Heading2"/>
      </w:pPr>
      <w:r>
        <w:rPr>
          <w:color w:val="000000"/>
        </w:rPr>
        <w:t>患者背景</w:t>
      </w:r>
    </w:p>
    <w:p>
      <w:r>
        <w:t>解析対象663例の患者背景をTable 1に示す。単胎群479例、双胎群184例であった。本サブグループは予定手術かつ帝王切開既往・HDP・術前ステロイドのない低リスク症例のみで構成される。</w:t>
      </w:r>
    </w:p>
    <w:p>
      <w:r>
        <w:rPr>
          <w:b/>
        </w:rPr>
        <w:t>Table 1. 患者背景（予定手術・低リスクサブグループ）</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変数</w:t>
            </w:r>
          </w:p>
        </w:tc>
        <w:tc>
          <w:tcPr>
            <w:tcW w:type="dxa" w:w="2160"/>
          </w:tcPr>
          <w:p>
            <w:r>
              <w:rPr>
                <w:b/>
                <w:sz w:val="18"/>
              </w:rPr>
              <w:t>単胎 (n=479)</w:t>
            </w:r>
          </w:p>
        </w:tc>
        <w:tc>
          <w:tcPr>
            <w:tcW w:type="dxa" w:w="2160"/>
          </w:tcPr>
          <w:p>
            <w:r>
              <w:rPr>
                <w:b/>
                <w:sz w:val="18"/>
              </w:rPr>
              <w:t>双胎 (n=184)</w:t>
            </w:r>
          </w:p>
        </w:tc>
        <w:tc>
          <w:tcPr>
            <w:tcW w:type="dxa" w:w="2160"/>
          </w:tcPr>
          <w:p>
            <w:r>
              <w:rPr>
                <w:b/>
                <w:sz w:val="18"/>
              </w:rPr>
              <w:t>P値</w:t>
            </w:r>
          </w:p>
        </w:tc>
      </w:tr>
      <w:tr>
        <w:tc>
          <w:tcPr>
            <w:tcW w:type="dxa" w:w="2160"/>
          </w:tcPr>
          <w:p>
            <w:r>
              <w:rPr>
                <w:sz w:val="18"/>
              </w:rPr>
              <w:t>Age (years)</w:t>
            </w:r>
          </w:p>
        </w:tc>
        <w:tc>
          <w:tcPr>
            <w:tcW w:type="dxa" w:w="2160"/>
          </w:tcPr>
          <w:p>
            <w:r>
              <w:rPr>
                <w:sz w:val="18"/>
              </w:rPr>
              <w:t>34.0 [30.0-38.0]</w:t>
            </w:r>
          </w:p>
        </w:tc>
        <w:tc>
          <w:tcPr>
            <w:tcW w:type="dxa" w:w="2160"/>
          </w:tcPr>
          <w:p>
            <w:r>
              <w:rPr>
                <w:sz w:val="18"/>
              </w:rPr>
              <w:t>32.0 [29.0-35.0]</w:t>
            </w:r>
          </w:p>
        </w:tc>
        <w:tc>
          <w:tcPr>
            <w:tcW w:type="dxa" w:w="2160"/>
          </w:tcPr>
          <w:p>
            <w:r>
              <w:rPr>
                <w:sz w:val="18"/>
              </w:rPr>
              <w:t>&lt; 0.001</w:t>
            </w:r>
          </w:p>
        </w:tc>
      </w:tr>
      <w:tr>
        <w:tc>
          <w:tcPr>
            <w:tcW w:type="dxa" w:w="2160"/>
          </w:tcPr>
          <w:p>
            <w:r>
              <w:rPr>
                <w:sz w:val="18"/>
              </w:rPr>
              <w:t>BMI (kg/m²)</w:t>
            </w:r>
          </w:p>
        </w:tc>
        <w:tc>
          <w:tcPr>
            <w:tcW w:type="dxa" w:w="2160"/>
          </w:tcPr>
          <w:p>
            <w:r>
              <w:rPr>
                <w:sz w:val="18"/>
              </w:rPr>
              <w:t>24.5 [22.5-27.0]</w:t>
            </w:r>
          </w:p>
        </w:tc>
        <w:tc>
          <w:tcPr>
            <w:tcW w:type="dxa" w:w="2160"/>
          </w:tcPr>
          <w:p>
            <w:r>
              <w:rPr>
                <w:sz w:val="18"/>
              </w:rPr>
              <w:t>25.6 [23.1-28.0]</w:t>
            </w:r>
          </w:p>
        </w:tc>
        <w:tc>
          <w:tcPr>
            <w:tcW w:type="dxa" w:w="2160"/>
          </w:tcPr>
          <w:p>
            <w:r>
              <w:rPr>
                <w:sz w:val="18"/>
              </w:rPr>
              <w:t>0.006</w:t>
            </w:r>
          </w:p>
        </w:tc>
      </w:tr>
      <w:tr>
        <w:tc>
          <w:tcPr>
            <w:tcW w:type="dxa" w:w="2160"/>
          </w:tcPr>
          <w:p>
            <w:r>
              <w:rPr>
                <w:sz w:val="18"/>
              </w:rPr>
              <w:t>Gestational age (weeks)</w:t>
            </w:r>
          </w:p>
        </w:tc>
        <w:tc>
          <w:tcPr>
            <w:tcW w:type="dxa" w:w="2160"/>
          </w:tcPr>
          <w:p>
            <w:r>
              <w:rPr>
                <w:sz w:val="18"/>
              </w:rPr>
              <w:t>38.0 [37.4-38.4]</w:t>
            </w:r>
          </w:p>
        </w:tc>
        <w:tc>
          <w:tcPr>
            <w:tcW w:type="dxa" w:w="2160"/>
          </w:tcPr>
          <w:p>
            <w:r>
              <w:rPr>
                <w:sz w:val="18"/>
              </w:rPr>
              <w:t>37.3 [37.0-37.4]</w:t>
            </w:r>
          </w:p>
        </w:tc>
        <w:tc>
          <w:tcPr>
            <w:tcW w:type="dxa" w:w="2160"/>
          </w:tcPr>
          <w:p>
            <w:r>
              <w:rPr>
                <w:sz w:val="18"/>
              </w:rPr>
              <w:t>&lt; 0.001</w:t>
            </w:r>
          </w:p>
        </w:tc>
      </w:tr>
      <w:tr>
        <w:tc>
          <w:tcPr>
            <w:tcW w:type="dxa" w:w="2160"/>
          </w:tcPr>
          <w:p>
            <w:r>
              <w:rPr>
                <w:sz w:val="18"/>
              </w:rPr>
              <w:t>Surgery time (min)</w:t>
            </w:r>
          </w:p>
        </w:tc>
        <w:tc>
          <w:tcPr>
            <w:tcW w:type="dxa" w:w="2160"/>
          </w:tcPr>
          <w:p>
            <w:r>
              <w:rPr>
                <w:sz w:val="18"/>
              </w:rPr>
              <w:t>46.0 [40.0-54.0]</w:t>
            </w:r>
          </w:p>
        </w:tc>
        <w:tc>
          <w:tcPr>
            <w:tcW w:type="dxa" w:w="2160"/>
          </w:tcPr>
          <w:p>
            <w:r>
              <w:rPr>
                <w:sz w:val="18"/>
              </w:rPr>
              <w:t>44.0 [38.0-51.0]</w:t>
            </w:r>
          </w:p>
        </w:tc>
        <w:tc>
          <w:tcPr>
            <w:tcW w:type="dxa" w:w="2160"/>
          </w:tcPr>
          <w:p>
            <w:r>
              <w:rPr>
                <w:sz w:val="18"/>
              </w:rPr>
              <w:t>0.008</w:t>
            </w:r>
          </w:p>
        </w:tc>
      </w:tr>
      <w:tr>
        <w:tc>
          <w:tcPr>
            <w:tcW w:type="dxa" w:w="2160"/>
          </w:tcPr>
          <w:p>
            <w:r>
              <w:rPr>
                <w:sz w:val="18"/>
              </w:rPr>
              <w:t>Anesthesia time (min)</w:t>
            </w:r>
          </w:p>
        </w:tc>
        <w:tc>
          <w:tcPr>
            <w:tcW w:type="dxa" w:w="2160"/>
          </w:tcPr>
          <w:p>
            <w:r>
              <w:rPr>
                <w:sz w:val="18"/>
              </w:rPr>
              <w:t>63.0 [55.0-75.0]</w:t>
            </w:r>
          </w:p>
        </w:tc>
        <w:tc>
          <w:tcPr>
            <w:tcW w:type="dxa" w:w="2160"/>
          </w:tcPr>
          <w:p>
            <w:r>
              <w:rPr>
                <w:sz w:val="18"/>
              </w:rPr>
              <w:t>58.0 [51.0-67.0]</w:t>
            </w:r>
          </w:p>
        </w:tc>
        <w:tc>
          <w:tcPr>
            <w:tcW w:type="dxa" w:w="2160"/>
          </w:tcPr>
          <w:p>
            <w:r>
              <w:rPr>
                <w:sz w:val="18"/>
              </w:rPr>
              <w:t>&lt; 0.001</w:t>
            </w:r>
          </w:p>
        </w:tc>
      </w:tr>
      <w:tr>
        <w:tc>
          <w:tcPr>
            <w:tcW w:type="dxa" w:w="2160"/>
          </w:tcPr>
          <w:p>
            <w:r>
              <w:rPr>
                <w:sz w:val="18"/>
              </w:rPr>
              <w:t>Estimated blood loss (mL)</w:t>
            </w:r>
          </w:p>
        </w:tc>
        <w:tc>
          <w:tcPr>
            <w:tcW w:type="dxa" w:w="2160"/>
          </w:tcPr>
          <w:p>
            <w:r>
              <w:rPr>
                <w:sz w:val="18"/>
              </w:rPr>
              <w:t>910.0 [610.0-1320.0]</w:t>
            </w:r>
          </w:p>
        </w:tc>
        <w:tc>
          <w:tcPr>
            <w:tcW w:type="dxa" w:w="2160"/>
          </w:tcPr>
          <w:p>
            <w:r>
              <w:rPr>
                <w:sz w:val="18"/>
              </w:rPr>
              <w:t>1250.0 [950.0-1630.0]</w:t>
            </w:r>
          </w:p>
        </w:tc>
        <w:tc>
          <w:tcPr>
            <w:tcW w:type="dxa" w:w="2160"/>
          </w:tcPr>
          <w:p>
            <w:r>
              <w:rPr>
                <w:sz w:val="18"/>
              </w:rPr>
              <w:t>&lt; 0.001</w:t>
            </w:r>
          </w:p>
        </w:tc>
      </w:tr>
      <w:tr>
        <w:tc>
          <w:tcPr>
            <w:tcW w:type="dxa" w:w="2160"/>
          </w:tcPr>
          <w:p>
            <w:r>
              <w:rPr>
                <w:sz w:val="18"/>
              </w:rPr>
              <w:t>Infusion volume (mL)</w:t>
            </w:r>
          </w:p>
        </w:tc>
        <w:tc>
          <w:tcPr>
            <w:tcW w:type="dxa" w:w="2160"/>
          </w:tcPr>
          <w:p>
            <w:r>
              <w:rPr>
                <w:sz w:val="18"/>
              </w:rPr>
              <w:t>1050.0 [835.0-1400.0]</w:t>
            </w:r>
          </w:p>
        </w:tc>
        <w:tc>
          <w:tcPr>
            <w:tcW w:type="dxa" w:w="2160"/>
          </w:tcPr>
          <w:p>
            <w:r>
              <w:rPr>
                <w:sz w:val="18"/>
              </w:rPr>
              <w:t>1000.0 [800.0-1307.5]</w:t>
            </w:r>
          </w:p>
        </w:tc>
        <w:tc>
          <w:tcPr>
            <w:tcW w:type="dxa" w:w="2160"/>
          </w:tcPr>
          <w:p>
            <w:r>
              <w:rPr>
                <w:sz w:val="18"/>
              </w:rPr>
              <w:t>0.044</w:t>
            </w:r>
          </w:p>
        </w:tc>
      </w:tr>
      <w:tr>
        <w:tc>
          <w:tcPr>
            <w:tcW w:type="dxa" w:w="2160"/>
          </w:tcPr>
          <w:p>
            <w:r>
              <w:rPr>
                <w:sz w:val="18"/>
              </w:rPr>
              <w:t>Hypotensive episodes (count)</w:t>
            </w:r>
          </w:p>
        </w:tc>
        <w:tc>
          <w:tcPr>
            <w:tcW w:type="dxa" w:w="2160"/>
          </w:tcPr>
          <w:p>
            <w:r>
              <w:rPr>
                <w:sz w:val="18"/>
              </w:rPr>
              <w:t>1.0 [0.0-3.0]</w:t>
            </w:r>
          </w:p>
        </w:tc>
        <w:tc>
          <w:tcPr>
            <w:tcW w:type="dxa" w:w="2160"/>
          </w:tcPr>
          <w:p>
            <w:r>
              <w:rPr>
                <w:sz w:val="18"/>
              </w:rPr>
              <w:t>0.0 [0.0-2.0]</w:t>
            </w:r>
          </w:p>
        </w:tc>
        <w:tc>
          <w:tcPr>
            <w:tcW w:type="dxa" w:w="2160"/>
          </w:tcPr>
          <w:p>
            <w:r>
              <w:rPr>
                <w:sz w:val="18"/>
              </w:rPr>
              <w:t>0.003</w:t>
            </w:r>
          </w:p>
        </w:tc>
      </w:tr>
      <w:tr>
        <w:tc>
          <w:tcPr>
            <w:tcW w:type="dxa" w:w="2160"/>
          </w:tcPr>
          <w:p>
            <w:r>
              <w:rPr>
                <w:sz w:val="18"/>
              </w:rPr>
              <w:t>Epidural anesthesia</w:t>
            </w:r>
          </w:p>
        </w:tc>
        <w:tc>
          <w:tcPr>
            <w:tcW w:type="dxa" w:w="2160"/>
          </w:tcPr>
          <w:p>
            <w:r>
              <w:rPr>
                <w:sz w:val="18"/>
              </w:rPr>
              <w:t>203/479 (42.4%)</w:t>
            </w:r>
          </w:p>
        </w:tc>
        <w:tc>
          <w:tcPr>
            <w:tcW w:type="dxa" w:w="2160"/>
          </w:tcPr>
          <w:p>
            <w:r>
              <w:rPr>
                <w:sz w:val="18"/>
              </w:rPr>
              <w:t>54/184 (29.3%)</w:t>
            </w:r>
          </w:p>
        </w:tc>
        <w:tc>
          <w:tcPr>
            <w:tcW w:type="dxa" w:w="2160"/>
          </w:tcPr>
          <w:p>
            <w:r>
              <w:rPr>
                <w:sz w:val="18"/>
              </w:rPr>
              <w:t>0.002</w:t>
            </w:r>
          </w:p>
        </w:tc>
      </w:tr>
      <w:tr>
        <w:tc>
          <w:tcPr>
            <w:tcW w:type="dxa" w:w="2160"/>
          </w:tcPr>
          <w:p>
            <w:r>
              <w:rPr>
                <w:sz w:val="18"/>
              </w:rPr>
              <w:t>Hypotension (SBP &lt; 90)</w:t>
            </w:r>
          </w:p>
        </w:tc>
        <w:tc>
          <w:tcPr>
            <w:tcW w:type="dxa" w:w="2160"/>
          </w:tcPr>
          <w:p>
            <w:r>
              <w:rPr>
                <w:sz w:val="18"/>
              </w:rPr>
              <w:t>287/479 (59.9%)</w:t>
            </w:r>
          </w:p>
        </w:tc>
        <w:tc>
          <w:tcPr>
            <w:tcW w:type="dxa" w:w="2160"/>
          </w:tcPr>
          <w:p>
            <w:r>
              <w:rPr>
                <w:sz w:val="18"/>
              </w:rPr>
              <w:t>86/184 (46.7%)</w:t>
            </w:r>
          </w:p>
        </w:tc>
        <w:tc>
          <w:tcPr>
            <w:tcW w:type="dxa" w:w="2160"/>
          </w:tcPr>
          <w:p>
            <w:r>
              <w:rPr>
                <w:sz w:val="18"/>
              </w:rPr>
              <w:t>0.002</w:t>
            </w:r>
          </w:p>
        </w:tc>
      </w:tr>
    </w:tbl>
    <w:p/>
    <w:p>
      <w:pPr>
        <w:pStyle w:val="Heading2"/>
      </w:pPr>
      <w:r>
        <w:rPr>
          <w:color w:val="000000"/>
        </w:rPr>
        <w:t>制吐薬（広義）によるIONV</w:t>
      </w:r>
    </w:p>
    <w:p>
      <w:r>
        <w:t>主要評価項目（制吐薬（広義））のIONV発生率は、単胎群21.9%（105/479例）、双胎群14.7%（27/184例）であった。多変量解析では、双胎は制吐薬使用と有意な関連を示さなかった（aOR 0.65, 95%CI 0.40–1.06, P = 0.086）。</w:t>
      </w:r>
    </w:p>
    <w:p>
      <w:r>
        <w:t>副次評価項目（胎児娩出前のみ）のIONV発生率は、単胎群2.9%、双胎群2.2%であり、こちらも有意差を認めなかった（aOR 0.70, 95%CI 0.22–2.26, P = 0.549）。</w:t>
      </w:r>
    </w:p>
    <w:p>
      <w:pPr>
        <w:pStyle w:val="Heading2"/>
      </w:pPr>
      <w:r>
        <w:rPr>
          <w:color w:val="000000"/>
        </w:rPr>
        <w:t>制吐薬（狭義）によるIONV</w:t>
      </w:r>
    </w:p>
    <w:p>
      <w:r>
        <w:t>5-HT3拮抗薬の使用を指標とした狭義の主要評価項目では、IONV発生率は単胎群0.4%（2/479例）に対し、双胎群3.3%（6/184例）と、双胎群で有意に高率であった。</w:t>
      </w:r>
    </w:p>
    <w:p>
      <w:r>
        <w:t>多変量ロジスティック回帰分析では、イベント数が8件と少数であったため共変量を5変数に縮小したモデルを使用した。その結果、双胎は5-HT3拮抗薬使用と有意に関連していた（aOR 13.59, 95%CI 1.74–106.04, P = 0.013）（Fig. 2）。</w:t>
      </w:r>
    </w:p>
    <w:p>
      <w:r>
        <w:t>狭義の副次評価項目（5-HT3拮抗薬かつ胎児娩出前投与）では、単胎群0.21%に対し双胎群1.63%と高い傾向を示したが、イベント数が4件と極めて少なく、統計学的有意差には至らなかった（aOR 14.14, 95%CI 0.72–277.39, P = 0.081）。</w:t>
      </w:r>
    </w:p>
    <w:p>
      <w:pPr>
        <w:jc w:val="center"/>
      </w:pPr>
      <w:r>
        <w:drawing>
          <wp:inline xmlns:a="http://schemas.openxmlformats.org/drawingml/2006/main" xmlns:pic="http://schemas.openxmlformats.org/drawingml/2006/picture">
            <wp:extent cx="5486400" cy="2374366"/>
            <wp:docPr id="1" name="Picture 1"/>
            <wp:cNvGraphicFramePr>
              <a:graphicFrameLocks noChangeAspect="1"/>
            </wp:cNvGraphicFramePr>
            <a:graphic>
              <a:graphicData uri="http://schemas.openxmlformats.org/drawingml/2006/picture">
                <pic:pic>
                  <pic:nvPicPr>
                    <pic:cNvPr id="0" name="fig1_rates_comparison.png"/>
                    <pic:cNvPicPr/>
                  </pic:nvPicPr>
                  <pic:blipFill>
                    <a:blip r:embed="rId9"/>
                    <a:stretch>
                      <a:fillRect/>
                    </a:stretch>
                  </pic:blipFill>
                  <pic:spPr>
                    <a:xfrm>
                      <a:off x="0" y="0"/>
                      <a:ext cx="5486400" cy="2374366"/>
                    </a:xfrm>
                    <a:prstGeom prst="rect"/>
                  </pic:spPr>
                </pic:pic>
              </a:graphicData>
            </a:graphic>
          </wp:inline>
        </w:drawing>
      </w:r>
    </w:p>
    <w:p>
      <w:pPr>
        <w:jc w:val="center"/>
      </w:pPr>
      <w:r>
        <w:rPr>
          <w:i/>
          <w:sz w:val="18"/>
        </w:rPr>
        <w:t>Fig. 1  IONV発生率の比較（制吐薬（広義）vs 制吐薬（狭義）、単胎 vs 双胎）</w:t>
        <w:br/>
        <w:t>予定手術・低リスクサブグループ</w:t>
      </w:r>
    </w:p>
    <w:p>
      <w:pPr>
        <w:pStyle w:val="Heading2"/>
      </w:pPr>
      <w:r>
        <w:rPr>
          <w:color w:val="000000"/>
        </w:rPr>
        <w:t>多変量ロジスティック回帰分析</w:t>
      </w:r>
    </w:p>
    <w:p>
      <w:r>
        <w:rPr>
          <w:b/>
        </w:rPr>
        <w:t>Table 2. IONVの多変量ロジスティック回帰分析（予定手術・低リスクサブグループ）</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評価項目</w:t>
            </w:r>
          </w:p>
        </w:tc>
        <w:tc>
          <w:tcPr>
            <w:tcW w:type="dxa" w:w="1440"/>
          </w:tcPr>
          <w:p>
            <w:r>
              <w:rPr>
                <w:b/>
                <w:sz w:val="18"/>
              </w:rPr>
              <w:t>n</w:t>
            </w:r>
          </w:p>
        </w:tc>
        <w:tc>
          <w:tcPr>
            <w:tcW w:type="dxa" w:w="1440"/>
          </w:tcPr>
          <w:p>
            <w:r>
              <w:rPr>
                <w:b/>
                <w:sz w:val="18"/>
              </w:rPr>
              <w:t>イベント数</w:t>
            </w:r>
          </w:p>
        </w:tc>
        <w:tc>
          <w:tcPr>
            <w:tcW w:type="dxa" w:w="1440"/>
          </w:tcPr>
          <w:p>
            <w:r>
              <w:rPr>
                <w:b/>
                <w:sz w:val="18"/>
              </w:rPr>
              <w:t>双胎 aOR</w:t>
            </w:r>
          </w:p>
        </w:tc>
        <w:tc>
          <w:tcPr>
            <w:tcW w:type="dxa" w:w="1440"/>
          </w:tcPr>
          <w:p>
            <w:r>
              <w:rPr>
                <w:b/>
                <w:sz w:val="18"/>
              </w:rPr>
              <w:t>95% CI</w:t>
            </w:r>
          </w:p>
        </w:tc>
        <w:tc>
          <w:tcPr>
            <w:tcW w:type="dxa" w:w="1440"/>
          </w:tcPr>
          <w:p>
            <w:r>
              <w:rPr>
                <w:b/>
                <w:sz w:val="18"/>
              </w:rPr>
              <w:t>P値</w:t>
            </w:r>
          </w:p>
        </w:tc>
      </w:tr>
      <w:tr>
        <w:tc>
          <w:tcPr>
            <w:tcW w:type="dxa" w:w="1440"/>
          </w:tcPr>
          <w:p>
            <w:r>
              <w:rPr>
                <w:sz w:val="18"/>
              </w:rPr>
              <w:t>広義 主要（制吐薬全体）</w:t>
            </w:r>
          </w:p>
        </w:tc>
        <w:tc>
          <w:tcPr>
            <w:tcW w:type="dxa" w:w="1440"/>
          </w:tcPr>
          <w:p>
            <w:r>
              <w:rPr>
                <w:sz w:val="18"/>
              </w:rPr>
              <w:t>660</w:t>
            </w:r>
          </w:p>
        </w:tc>
        <w:tc>
          <w:tcPr>
            <w:tcW w:type="dxa" w:w="1440"/>
          </w:tcPr>
          <w:p>
            <w:r>
              <w:rPr>
                <w:sz w:val="18"/>
              </w:rPr>
              <w:t>131</w:t>
            </w:r>
          </w:p>
        </w:tc>
        <w:tc>
          <w:tcPr>
            <w:tcW w:type="dxa" w:w="1440"/>
          </w:tcPr>
          <w:p>
            <w:r>
              <w:rPr>
                <w:sz w:val="18"/>
              </w:rPr>
              <w:t>0.65</w:t>
            </w:r>
          </w:p>
        </w:tc>
        <w:tc>
          <w:tcPr>
            <w:tcW w:type="dxa" w:w="1440"/>
          </w:tcPr>
          <w:p>
            <w:r>
              <w:rPr>
                <w:sz w:val="18"/>
              </w:rPr>
              <w:t>0.40–1.06</w:t>
            </w:r>
          </w:p>
        </w:tc>
        <w:tc>
          <w:tcPr>
            <w:tcW w:type="dxa" w:w="1440"/>
          </w:tcPr>
          <w:p>
            <w:r>
              <w:rPr>
                <w:sz w:val="18"/>
              </w:rPr>
              <w:t>0.086</w:t>
            </w:r>
          </w:p>
        </w:tc>
      </w:tr>
      <w:tr>
        <w:tc>
          <w:tcPr>
            <w:tcW w:type="dxa" w:w="1440"/>
          </w:tcPr>
          <w:p>
            <w:r>
              <w:rPr>
                <w:sz w:val="18"/>
              </w:rPr>
              <w:t>広義 副次（娩出前のみ）</w:t>
            </w:r>
          </w:p>
        </w:tc>
        <w:tc>
          <w:tcPr>
            <w:tcW w:type="dxa" w:w="1440"/>
          </w:tcPr>
          <w:p>
            <w:r>
              <w:rPr>
                <w:sz w:val="18"/>
              </w:rPr>
              <w:t>660</w:t>
            </w:r>
          </w:p>
        </w:tc>
        <w:tc>
          <w:tcPr>
            <w:tcW w:type="dxa" w:w="1440"/>
          </w:tcPr>
          <w:p>
            <w:r>
              <w:rPr>
                <w:sz w:val="18"/>
              </w:rPr>
              <w:t>18</w:t>
            </w:r>
          </w:p>
        </w:tc>
        <w:tc>
          <w:tcPr>
            <w:tcW w:type="dxa" w:w="1440"/>
          </w:tcPr>
          <w:p>
            <w:r>
              <w:rPr>
                <w:sz w:val="18"/>
              </w:rPr>
              <w:t>0.70</w:t>
            </w:r>
          </w:p>
        </w:tc>
        <w:tc>
          <w:tcPr>
            <w:tcW w:type="dxa" w:w="1440"/>
          </w:tcPr>
          <w:p>
            <w:r>
              <w:rPr>
                <w:sz w:val="18"/>
              </w:rPr>
              <w:t>0.22–2.26</w:t>
            </w:r>
          </w:p>
        </w:tc>
        <w:tc>
          <w:tcPr>
            <w:tcW w:type="dxa" w:w="1440"/>
          </w:tcPr>
          <w:p>
            <w:r>
              <w:rPr>
                <w:sz w:val="18"/>
              </w:rPr>
              <w:t>0.549</w:t>
            </w:r>
          </w:p>
        </w:tc>
      </w:tr>
      <w:tr>
        <w:tc>
          <w:tcPr>
            <w:tcW w:type="dxa" w:w="1440"/>
          </w:tcPr>
          <w:p>
            <w:r>
              <w:rPr>
                <w:sz w:val="18"/>
              </w:rPr>
              <w:t>狭義 主要（5-HT3拮抗薬）</w:t>
            </w:r>
          </w:p>
        </w:tc>
        <w:tc>
          <w:tcPr>
            <w:tcW w:type="dxa" w:w="1440"/>
          </w:tcPr>
          <w:p>
            <w:r>
              <w:rPr>
                <w:sz w:val="18"/>
              </w:rPr>
              <w:t>660</w:t>
            </w:r>
          </w:p>
        </w:tc>
        <w:tc>
          <w:tcPr>
            <w:tcW w:type="dxa" w:w="1440"/>
          </w:tcPr>
          <w:p>
            <w:r>
              <w:rPr>
                <w:sz w:val="18"/>
              </w:rPr>
              <w:t>8</w:t>
            </w:r>
          </w:p>
        </w:tc>
        <w:tc>
          <w:tcPr>
            <w:tcW w:type="dxa" w:w="1440"/>
          </w:tcPr>
          <w:p>
            <w:r>
              <w:rPr>
                <w:sz w:val="18"/>
              </w:rPr>
              <w:t>13.59</w:t>
            </w:r>
          </w:p>
        </w:tc>
        <w:tc>
          <w:tcPr>
            <w:tcW w:type="dxa" w:w="1440"/>
          </w:tcPr>
          <w:p>
            <w:r>
              <w:rPr>
                <w:sz w:val="18"/>
              </w:rPr>
              <w:t>1.74–106.04</w:t>
            </w:r>
          </w:p>
        </w:tc>
        <w:tc>
          <w:tcPr>
            <w:tcW w:type="dxa" w:w="1440"/>
          </w:tcPr>
          <w:p>
            <w:r>
              <w:rPr>
                <w:sz w:val="18"/>
              </w:rPr>
              <w:t>0.013</w:t>
            </w:r>
          </w:p>
        </w:tc>
      </w:tr>
      <w:tr>
        <w:tc>
          <w:tcPr>
            <w:tcW w:type="dxa" w:w="1440"/>
          </w:tcPr>
          <w:p>
            <w:r>
              <w:rPr>
                <w:sz w:val="18"/>
              </w:rPr>
              <w:t>狭義 副次（5-HT3+娩出前）</w:t>
            </w:r>
          </w:p>
        </w:tc>
        <w:tc>
          <w:tcPr>
            <w:tcW w:type="dxa" w:w="1440"/>
          </w:tcPr>
          <w:p>
            <w:r>
              <w:rPr>
                <w:sz w:val="18"/>
              </w:rPr>
              <w:t>660</w:t>
            </w:r>
          </w:p>
        </w:tc>
        <w:tc>
          <w:tcPr>
            <w:tcW w:type="dxa" w:w="1440"/>
          </w:tcPr>
          <w:p>
            <w:r>
              <w:rPr>
                <w:sz w:val="18"/>
              </w:rPr>
              <w:t>4</w:t>
            </w:r>
          </w:p>
        </w:tc>
        <w:tc>
          <w:tcPr>
            <w:tcW w:type="dxa" w:w="1440"/>
          </w:tcPr>
          <w:p>
            <w:r>
              <w:rPr>
                <w:sz w:val="18"/>
              </w:rPr>
              <w:t>14.14</w:t>
            </w:r>
          </w:p>
        </w:tc>
        <w:tc>
          <w:tcPr>
            <w:tcW w:type="dxa" w:w="1440"/>
          </w:tcPr>
          <w:p>
            <w:r>
              <w:rPr>
                <w:sz w:val="18"/>
              </w:rPr>
              <w:t>0.72–277.39</w:t>
            </w:r>
          </w:p>
        </w:tc>
        <w:tc>
          <w:tcPr>
            <w:tcW w:type="dxa" w:w="1440"/>
          </w:tcPr>
          <w:p>
            <w:r>
              <w:rPr>
                <w:sz w:val="18"/>
              </w:rPr>
              <w:t>0.081</w:t>
            </w:r>
          </w:p>
        </w:tc>
      </w:tr>
    </w:tbl>
    <w:p/>
    <w:p>
      <w:pPr>
        <w:jc w:val="center"/>
      </w:pPr>
      <w:r>
        <w:drawing>
          <wp:inline xmlns:a="http://schemas.openxmlformats.org/drawingml/2006/main" xmlns:pic="http://schemas.openxmlformats.org/drawingml/2006/picture">
            <wp:extent cx="5486400" cy="3268926"/>
            <wp:docPr id="2" name="Picture 2"/>
            <wp:cNvGraphicFramePr>
              <a:graphicFrameLocks noChangeAspect="1"/>
            </wp:cNvGraphicFramePr>
            <a:graphic>
              <a:graphicData uri="http://schemas.openxmlformats.org/drawingml/2006/picture">
                <pic:pic>
                  <pic:nvPicPr>
                    <pic:cNvPr id="0" name="fig2_forest_narrow_primary.png"/>
                    <pic:cNvPicPr/>
                  </pic:nvPicPr>
                  <pic:blipFill>
                    <a:blip r:embed="rId10"/>
                    <a:stretch>
                      <a:fillRect/>
                    </a:stretch>
                  </pic:blipFill>
                  <pic:spPr>
                    <a:xfrm>
                      <a:off x="0" y="0"/>
                      <a:ext cx="5486400" cy="3268926"/>
                    </a:xfrm>
                    <a:prstGeom prst="rect"/>
                  </pic:spPr>
                </pic:pic>
              </a:graphicData>
            </a:graphic>
          </wp:inline>
        </w:drawing>
      </w:r>
    </w:p>
    <w:p>
      <w:pPr>
        <w:jc w:val="center"/>
      </w:pPr>
      <w:r>
        <w:rPr>
          <w:i/>
          <w:sz w:val="18"/>
        </w:rPr>
        <w:t>Fig. 2  制吐薬（狭義）使用の多変量ロジスティック回帰分析</w:t>
        <w:br/>
        <w:t>（予定手術・低リスクサブグループ）</w:t>
      </w:r>
    </w:p>
    <w:p>
      <w:pPr>
        <w:jc w:val="center"/>
      </w:pPr>
      <w:r>
        <w:drawing>
          <wp:inline xmlns:a="http://schemas.openxmlformats.org/drawingml/2006/main" xmlns:pic="http://schemas.openxmlformats.org/drawingml/2006/picture">
            <wp:extent cx="5486400" cy="2161309"/>
            <wp:docPr id="3" name="Picture 3"/>
            <wp:cNvGraphicFramePr>
              <a:graphicFrameLocks noChangeAspect="1"/>
            </wp:cNvGraphicFramePr>
            <a:graphic>
              <a:graphicData uri="http://schemas.openxmlformats.org/drawingml/2006/picture">
                <pic:pic>
                  <pic:nvPicPr>
                    <pic:cNvPr id="0" name="fig4_broad_vs_narrow.png"/>
                    <pic:cNvPicPr/>
                  </pic:nvPicPr>
                  <pic:blipFill>
                    <a:blip r:embed="rId11"/>
                    <a:stretch>
                      <a:fillRect/>
                    </a:stretch>
                  </pic:blipFill>
                  <pic:spPr>
                    <a:xfrm>
                      <a:off x="0" y="0"/>
                      <a:ext cx="5486400" cy="2161309"/>
                    </a:xfrm>
                    <a:prstGeom prst="rect"/>
                  </pic:spPr>
                </pic:pic>
              </a:graphicData>
            </a:graphic>
          </wp:inline>
        </w:drawing>
      </w:r>
    </w:p>
    <w:p>
      <w:pPr>
        <w:jc w:val="center"/>
      </w:pPr>
      <w:r>
        <w:rPr>
          <w:i/>
          <w:sz w:val="18"/>
        </w:rPr>
        <w:t>Fig. 4  双胎のIONV効果：制吐薬（広義）vs 制吐薬（狭義）</w:t>
        <w:br/>
        <w:t>（予定手術・低リスクサブグループ）</w:t>
      </w:r>
    </w:p>
    <w:p>
      <w:pPr>
        <w:pStyle w:val="Heading2"/>
      </w:pPr>
      <w:r>
        <w:rPr>
          <w:color w:val="000000"/>
        </w:rPr>
        <w:t>共変量感度分析</w:t>
      </w:r>
    </w:p>
    <w:p>
      <w:r>
        <w:t>制吐薬（狭義）における双胎の効果推定値の頑健性を検証するため、共変量感度分析を実施した（Table 3, Fig. 3）。</w:t>
      </w:r>
    </w:p>
    <w:p>
      <w:r>
        <w:t>全12モデルにおいて、双胎のaORは8.04–18.14の範囲であり、12/12モデルで統計学的に有意であった（P &lt; 0.05）。この結果は、緊急帝王切開・帝王切開既往・HDP・術前ステロイドを除外した低リスク集団においても、双胎と5-HT3拮抗薬使用の有意な関連が頑健に再現されることを示している。</w:t>
      </w:r>
    </w:p>
    <w:p>
      <w:r>
        <w:rPr>
          <w:b/>
        </w:rPr>
        <w:t>Table 3. 共変量感度分析（制吐薬（狭義）主要評価項目）</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モデル</w:t>
            </w:r>
          </w:p>
        </w:tc>
        <w:tc>
          <w:tcPr>
            <w:tcW w:type="dxa" w:w="2160"/>
          </w:tcPr>
          <w:p>
            <w:r>
              <w:rPr>
                <w:b/>
                <w:sz w:val="18"/>
              </w:rPr>
              <w:t>aOR</w:t>
            </w:r>
          </w:p>
        </w:tc>
        <w:tc>
          <w:tcPr>
            <w:tcW w:type="dxa" w:w="2160"/>
          </w:tcPr>
          <w:p>
            <w:r>
              <w:rPr>
                <w:b/>
                <w:sz w:val="18"/>
              </w:rPr>
              <w:t>95% CI</w:t>
            </w:r>
          </w:p>
        </w:tc>
        <w:tc>
          <w:tcPr>
            <w:tcW w:type="dxa" w:w="2160"/>
          </w:tcPr>
          <w:p>
            <w:r>
              <w:rPr>
                <w:b/>
                <w:sz w:val="18"/>
              </w:rPr>
              <w:t>P値</w:t>
            </w:r>
          </w:p>
        </w:tc>
      </w:tr>
      <w:tr>
        <w:tc>
          <w:tcPr>
            <w:tcW w:type="dxa" w:w="2160"/>
          </w:tcPr>
          <w:p>
            <w:r>
              <w:rPr>
                <w:sz w:val="18"/>
              </w:rPr>
              <w:t>Crude (twin only)</w:t>
            </w:r>
          </w:p>
        </w:tc>
        <w:tc>
          <w:tcPr>
            <w:tcW w:type="dxa" w:w="2160"/>
          </w:tcPr>
          <w:p>
            <w:r>
              <w:rPr>
                <w:sz w:val="18"/>
              </w:rPr>
              <w:t>8.04</w:t>
            </w:r>
          </w:p>
        </w:tc>
        <w:tc>
          <w:tcPr>
            <w:tcW w:type="dxa" w:w="2160"/>
          </w:tcPr>
          <w:p>
            <w:r>
              <w:rPr>
                <w:sz w:val="18"/>
              </w:rPr>
              <w:t>1.61–40.20</w:t>
            </w:r>
          </w:p>
        </w:tc>
        <w:tc>
          <w:tcPr>
            <w:tcW w:type="dxa" w:w="2160"/>
          </w:tcPr>
          <w:p>
            <w:r>
              <w:rPr>
                <w:sz w:val="18"/>
              </w:rPr>
              <w:t>0.011</w:t>
            </w:r>
          </w:p>
        </w:tc>
      </w:tr>
      <w:tr>
        <w:tc>
          <w:tcPr>
            <w:tcW w:type="dxa" w:w="2160"/>
          </w:tcPr>
          <w:p>
            <w:r>
              <w:rPr>
                <w:sz w:val="18"/>
              </w:rPr>
              <w:t>Twin + Age (per year)</w:t>
            </w:r>
          </w:p>
        </w:tc>
        <w:tc>
          <w:tcPr>
            <w:tcW w:type="dxa" w:w="2160"/>
          </w:tcPr>
          <w:p>
            <w:r>
              <w:rPr>
                <w:sz w:val="18"/>
              </w:rPr>
              <w:t>9.05</w:t>
            </w:r>
          </w:p>
        </w:tc>
        <w:tc>
          <w:tcPr>
            <w:tcW w:type="dxa" w:w="2160"/>
          </w:tcPr>
          <w:p>
            <w:r>
              <w:rPr>
                <w:sz w:val="18"/>
              </w:rPr>
              <w:t>1.74–47.10</w:t>
            </w:r>
          </w:p>
        </w:tc>
        <w:tc>
          <w:tcPr>
            <w:tcW w:type="dxa" w:w="2160"/>
          </w:tcPr>
          <w:p>
            <w:r>
              <w:rPr>
                <w:sz w:val="18"/>
              </w:rPr>
              <w:t>0.009</w:t>
            </w:r>
          </w:p>
        </w:tc>
      </w:tr>
      <w:tr>
        <w:tc>
          <w:tcPr>
            <w:tcW w:type="dxa" w:w="2160"/>
          </w:tcPr>
          <w:p>
            <w:r>
              <w:rPr>
                <w:sz w:val="18"/>
              </w:rPr>
              <w:t>Twin + BMI (per kg/m²)</w:t>
            </w:r>
          </w:p>
        </w:tc>
        <w:tc>
          <w:tcPr>
            <w:tcW w:type="dxa" w:w="2160"/>
          </w:tcPr>
          <w:p>
            <w:r>
              <w:rPr>
                <w:sz w:val="18"/>
              </w:rPr>
              <w:t>8.30</w:t>
            </w:r>
          </w:p>
        </w:tc>
        <w:tc>
          <w:tcPr>
            <w:tcW w:type="dxa" w:w="2160"/>
          </w:tcPr>
          <w:p>
            <w:r>
              <w:rPr>
                <w:sz w:val="18"/>
              </w:rPr>
              <w:t>1.65–41.82</w:t>
            </w:r>
          </w:p>
        </w:tc>
        <w:tc>
          <w:tcPr>
            <w:tcW w:type="dxa" w:w="2160"/>
          </w:tcPr>
          <w:p>
            <w:r>
              <w:rPr>
                <w:sz w:val="18"/>
              </w:rPr>
              <w:t>0.010</w:t>
            </w:r>
          </w:p>
        </w:tc>
      </w:tr>
      <w:tr>
        <w:tc>
          <w:tcPr>
            <w:tcW w:type="dxa" w:w="2160"/>
          </w:tcPr>
          <w:p>
            <w:r>
              <w:rPr>
                <w:sz w:val="18"/>
              </w:rPr>
              <w:t>Twin + GA (per week)</w:t>
            </w:r>
          </w:p>
        </w:tc>
        <w:tc>
          <w:tcPr>
            <w:tcW w:type="dxa" w:w="2160"/>
          </w:tcPr>
          <w:p>
            <w:r>
              <w:rPr>
                <w:sz w:val="18"/>
              </w:rPr>
              <w:t>10.99</w:t>
            </w:r>
          </w:p>
        </w:tc>
        <w:tc>
          <w:tcPr>
            <w:tcW w:type="dxa" w:w="2160"/>
          </w:tcPr>
          <w:p>
            <w:r>
              <w:rPr>
                <w:sz w:val="18"/>
              </w:rPr>
              <w:t>1.52–79.47</w:t>
            </w:r>
          </w:p>
        </w:tc>
        <w:tc>
          <w:tcPr>
            <w:tcW w:type="dxa" w:w="2160"/>
          </w:tcPr>
          <w:p>
            <w:r>
              <w:rPr>
                <w:sz w:val="18"/>
              </w:rPr>
              <w:t>0.018</w:t>
            </w:r>
          </w:p>
        </w:tc>
      </w:tr>
      <w:tr>
        <w:tc>
          <w:tcPr>
            <w:tcW w:type="dxa" w:w="2160"/>
          </w:tcPr>
          <w:p>
            <w:r>
              <w:rPr>
                <w:sz w:val="18"/>
              </w:rPr>
              <w:t>Twin + Surgery time (per min)</w:t>
            </w:r>
          </w:p>
        </w:tc>
        <w:tc>
          <w:tcPr>
            <w:tcW w:type="dxa" w:w="2160"/>
          </w:tcPr>
          <w:p>
            <w:r>
              <w:rPr>
                <w:sz w:val="18"/>
              </w:rPr>
              <w:t>12.32</w:t>
            </w:r>
          </w:p>
        </w:tc>
        <w:tc>
          <w:tcPr>
            <w:tcW w:type="dxa" w:w="2160"/>
          </w:tcPr>
          <w:p>
            <w:r>
              <w:rPr>
                <w:sz w:val="18"/>
              </w:rPr>
              <w:t>2.14–70.86</w:t>
            </w:r>
          </w:p>
        </w:tc>
        <w:tc>
          <w:tcPr>
            <w:tcW w:type="dxa" w:w="2160"/>
          </w:tcPr>
          <w:p>
            <w:r>
              <w:rPr>
                <w:sz w:val="18"/>
              </w:rPr>
              <w:t>0.005</w:t>
            </w:r>
          </w:p>
        </w:tc>
      </w:tr>
      <w:tr>
        <w:tc>
          <w:tcPr>
            <w:tcW w:type="dxa" w:w="2160"/>
          </w:tcPr>
          <w:p>
            <w:r>
              <w:rPr>
                <w:sz w:val="18"/>
              </w:rPr>
              <w:t>Twin + Hypotension (SBP &lt; 90)</w:t>
            </w:r>
          </w:p>
        </w:tc>
        <w:tc>
          <w:tcPr>
            <w:tcW w:type="dxa" w:w="2160"/>
          </w:tcPr>
          <w:p>
            <w:r>
              <w:rPr>
                <w:sz w:val="18"/>
              </w:rPr>
              <w:t>8.04</w:t>
            </w:r>
          </w:p>
        </w:tc>
        <w:tc>
          <w:tcPr>
            <w:tcW w:type="dxa" w:w="2160"/>
          </w:tcPr>
          <w:p>
            <w:r>
              <w:rPr>
                <w:sz w:val="18"/>
              </w:rPr>
              <w:t>1.59–40.63</w:t>
            </w:r>
          </w:p>
        </w:tc>
        <w:tc>
          <w:tcPr>
            <w:tcW w:type="dxa" w:w="2160"/>
          </w:tcPr>
          <w:p>
            <w:r>
              <w:rPr>
                <w:sz w:val="18"/>
              </w:rPr>
              <w:t>0.012</w:t>
            </w:r>
          </w:p>
        </w:tc>
      </w:tr>
      <w:tr>
        <w:tc>
          <w:tcPr>
            <w:tcW w:type="dxa" w:w="2160"/>
          </w:tcPr>
          <w:p>
            <w:r>
              <w:rPr>
                <w:sz w:val="18"/>
              </w:rPr>
              <w:t>Full minus Age (per year)</w:t>
            </w:r>
          </w:p>
        </w:tc>
        <w:tc>
          <w:tcPr>
            <w:tcW w:type="dxa" w:w="2160"/>
          </w:tcPr>
          <w:p>
            <w:r>
              <w:rPr>
                <w:sz w:val="18"/>
              </w:rPr>
              <w:t>11.57</w:t>
            </w:r>
          </w:p>
        </w:tc>
        <w:tc>
          <w:tcPr>
            <w:tcW w:type="dxa" w:w="2160"/>
          </w:tcPr>
          <w:p>
            <w:r>
              <w:rPr>
                <w:sz w:val="18"/>
              </w:rPr>
              <w:t>1.58–84.79</w:t>
            </w:r>
          </w:p>
        </w:tc>
        <w:tc>
          <w:tcPr>
            <w:tcW w:type="dxa" w:w="2160"/>
          </w:tcPr>
          <w:p>
            <w:r>
              <w:rPr>
                <w:sz w:val="18"/>
              </w:rPr>
              <w:t>0.016</w:t>
            </w:r>
          </w:p>
        </w:tc>
      </w:tr>
      <w:tr>
        <w:tc>
          <w:tcPr>
            <w:tcW w:type="dxa" w:w="2160"/>
          </w:tcPr>
          <w:p>
            <w:r>
              <w:rPr>
                <w:sz w:val="18"/>
              </w:rPr>
              <w:t>Full minus BMI (per kg/m²)</w:t>
            </w:r>
          </w:p>
        </w:tc>
        <w:tc>
          <w:tcPr>
            <w:tcW w:type="dxa" w:w="2160"/>
          </w:tcPr>
          <w:p>
            <w:r>
              <w:rPr>
                <w:sz w:val="18"/>
              </w:rPr>
              <w:t>11.52</w:t>
            </w:r>
          </w:p>
        </w:tc>
        <w:tc>
          <w:tcPr>
            <w:tcW w:type="dxa" w:w="2160"/>
          </w:tcPr>
          <w:p>
            <w:r>
              <w:rPr>
                <w:sz w:val="18"/>
              </w:rPr>
              <w:t>1.59–83.37</w:t>
            </w:r>
          </w:p>
        </w:tc>
        <w:tc>
          <w:tcPr>
            <w:tcW w:type="dxa" w:w="2160"/>
          </w:tcPr>
          <w:p>
            <w:r>
              <w:rPr>
                <w:sz w:val="18"/>
              </w:rPr>
              <w:t>0.015</w:t>
            </w:r>
          </w:p>
        </w:tc>
      </w:tr>
      <w:tr>
        <w:tc>
          <w:tcPr>
            <w:tcW w:type="dxa" w:w="2160"/>
          </w:tcPr>
          <w:p>
            <w:r>
              <w:rPr>
                <w:sz w:val="18"/>
              </w:rPr>
              <w:t>Full minus GA (per week)</w:t>
            </w:r>
          </w:p>
        </w:tc>
        <w:tc>
          <w:tcPr>
            <w:tcW w:type="dxa" w:w="2160"/>
          </w:tcPr>
          <w:p>
            <w:r>
              <w:rPr>
                <w:sz w:val="18"/>
              </w:rPr>
              <w:t>11.27</w:t>
            </w:r>
          </w:p>
        </w:tc>
        <w:tc>
          <w:tcPr>
            <w:tcW w:type="dxa" w:w="2160"/>
          </w:tcPr>
          <w:p>
            <w:r>
              <w:rPr>
                <w:sz w:val="18"/>
              </w:rPr>
              <w:t>1.88–67.51</w:t>
            </w:r>
          </w:p>
        </w:tc>
        <w:tc>
          <w:tcPr>
            <w:tcW w:type="dxa" w:w="2160"/>
          </w:tcPr>
          <w:p>
            <w:r>
              <w:rPr>
                <w:sz w:val="18"/>
              </w:rPr>
              <w:t>0.008</w:t>
            </w:r>
          </w:p>
        </w:tc>
      </w:tr>
      <w:tr>
        <w:tc>
          <w:tcPr>
            <w:tcW w:type="dxa" w:w="2160"/>
          </w:tcPr>
          <w:p>
            <w:r>
              <w:rPr>
                <w:sz w:val="18"/>
              </w:rPr>
              <w:t>Full minus Epidural anesthesia</w:t>
            </w:r>
          </w:p>
        </w:tc>
        <w:tc>
          <w:tcPr>
            <w:tcW w:type="dxa" w:w="2160"/>
          </w:tcPr>
          <w:p>
            <w:r>
              <w:rPr>
                <w:sz w:val="18"/>
              </w:rPr>
              <w:t>18.14</w:t>
            </w:r>
          </w:p>
        </w:tc>
        <w:tc>
          <w:tcPr>
            <w:tcW w:type="dxa" w:w="2160"/>
          </w:tcPr>
          <w:p>
            <w:r>
              <w:rPr>
                <w:sz w:val="18"/>
              </w:rPr>
              <w:t>2.26–145.47</w:t>
            </w:r>
          </w:p>
        </w:tc>
        <w:tc>
          <w:tcPr>
            <w:tcW w:type="dxa" w:w="2160"/>
          </w:tcPr>
          <w:p>
            <w:r>
              <w:rPr>
                <w:sz w:val="18"/>
              </w:rPr>
              <w:t>0.006</w:t>
            </w:r>
          </w:p>
        </w:tc>
      </w:tr>
      <w:tr>
        <w:tc>
          <w:tcPr>
            <w:tcW w:type="dxa" w:w="2160"/>
          </w:tcPr>
          <w:p>
            <w:r>
              <w:rPr>
                <w:sz w:val="18"/>
              </w:rPr>
              <w:t>Full minus Hypotension (SBP &lt; 90)</w:t>
            </w:r>
          </w:p>
        </w:tc>
        <w:tc>
          <w:tcPr>
            <w:tcW w:type="dxa" w:w="2160"/>
          </w:tcPr>
          <w:p>
            <w:r>
              <w:rPr>
                <w:sz w:val="18"/>
              </w:rPr>
              <w:t>12.37</w:t>
            </w:r>
          </w:p>
        </w:tc>
        <w:tc>
          <w:tcPr>
            <w:tcW w:type="dxa" w:w="2160"/>
          </w:tcPr>
          <w:p>
            <w:r>
              <w:rPr>
                <w:sz w:val="18"/>
              </w:rPr>
              <w:t>1.63–93.71</w:t>
            </w:r>
          </w:p>
        </w:tc>
        <w:tc>
          <w:tcPr>
            <w:tcW w:type="dxa" w:w="2160"/>
          </w:tcPr>
          <w:p>
            <w:r>
              <w:rPr>
                <w:sz w:val="18"/>
              </w:rPr>
              <w:t>0.015</w:t>
            </w:r>
          </w:p>
        </w:tc>
      </w:tr>
      <w:tr>
        <w:tc>
          <w:tcPr>
            <w:tcW w:type="dxa" w:w="2160"/>
          </w:tcPr>
          <w:p>
            <w:r>
              <w:rPr>
                <w:sz w:val="18"/>
              </w:rPr>
              <w:t>Reduced (5 covariates)</w:t>
            </w:r>
          </w:p>
        </w:tc>
        <w:tc>
          <w:tcPr>
            <w:tcW w:type="dxa" w:w="2160"/>
          </w:tcPr>
          <w:p>
            <w:r>
              <w:rPr>
                <w:sz w:val="18"/>
              </w:rPr>
              <w:t>13.59</w:t>
            </w:r>
          </w:p>
        </w:tc>
        <w:tc>
          <w:tcPr>
            <w:tcW w:type="dxa" w:w="2160"/>
          </w:tcPr>
          <w:p>
            <w:r>
              <w:rPr>
                <w:sz w:val="18"/>
              </w:rPr>
              <w:t>1.74–106.04</w:t>
            </w:r>
          </w:p>
        </w:tc>
        <w:tc>
          <w:tcPr>
            <w:tcW w:type="dxa" w:w="2160"/>
          </w:tcPr>
          <w:p>
            <w:r>
              <w:rPr>
                <w:sz w:val="18"/>
              </w:rPr>
              <w:t>0.013</w:t>
            </w:r>
          </w:p>
        </w:tc>
      </w:tr>
    </w:tbl>
    <w:p/>
    <w:p>
      <w:pPr>
        <w:jc w:val="center"/>
      </w:pPr>
      <w:r>
        <w:drawing>
          <wp:inline xmlns:a="http://schemas.openxmlformats.org/drawingml/2006/main" xmlns:pic="http://schemas.openxmlformats.org/drawingml/2006/picture">
            <wp:extent cx="5486400" cy="3642232"/>
            <wp:docPr id="4" name="Picture 4"/>
            <wp:cNvGraphicFramePr>
              <a:graphicFrameLocks noChangeAspect="1"/>
            </wp:cNvGraphicFramePr>
            <a:graphic>
              <a:graphicData uri="http://schemas.openxmlformats.org/drawingml/2006/picture">
                <pic:pic>
                  <pic:nvPicPr>
                    <pic:cNvPr id="0" name="fig3_covariate_sensitivity.png"/>
                    <pic:cNvPicPr/>
                  </pic:nvPicPr>
                  <pic:blipFill>
                    <a:blip r:embed="rId12"/>
                    <a:stretch>
                      <a:fillRect/>
                    </a:stretch>
                  </pic:blipFill>
                  <pic:spPr>
                    <a:xfrm>
                      <a:off x="0" y="0"/>
                      <a:ext cx="5486400" cy="3642232"/>
                    </a:xfrm>
                    <a:prstGeom prst="rect"/>
                  </pic:spPr>
                </pic:pic>
              </a:graphicData>
            </a:graphic>
          </wp:inline>
        </w:drawing>
      </w:r>
    </w:p>
    <w:p>
      <w:pPr>
        <w:jc w:val="center"/>
      </w:pPr>
      <w:r>
        <w:rPr>
          <w:i/>
          <w:sz w:val="18"/>
        </w:rPr>
        <w:t>Fig. 3  共変量感度分析：双胎の制吐薬（狭義）使用に対する効果</w:t>
        <w:br/>
        <w:t>（予定手術・低リスクサブグループ）</w:t>
      </w:r>
    </w:p>
    <w:p>
      <w:pPr>
        <w:pStyle w:val="Heading2"/>
      </w:pPr>
      <w:r>
        <w:rPr>
          <w:color w:val="000000"/>
        </w:rPr>
        <w:t>考察</w:t>
      </w:r>
    </w:p>
    <w:p>
      <w:r>
        <w:t>本感度分析では、緊急帝王切開、帝王切開既往、HDP、術前ステロイド使用の4条件を除外し、予定手術かつ低リスクの症例に限定して双胎妊娠のIONVへの影響を再検討した。</w:t>
      </w:r>
    </w:p>
    <w:p>
      <w:r>
        <w:t>制吐薬全般の使用（広義）では全コホート解析と同様に有意差を認めなかった（aOR 0.65, P = 0.086）。一方、5-HT3拮抗薬の使用に限定した狭義の定義では、双胎群で有意に高率であった（aOR 13.59, 95%CI 1.74–106.04, P = 0.013）。</w:t>
      </w:r>
    </w:p>
    <w:p>
      <w:r>
        <w:t>注目すべきは、交絡因子（緊急手術、既往手術、HDP、ステロイド）を除外したにもかかわらず、むしろ効果量が増大した点である（全コホート aOR 3.18 → サブグループ aOR 13.59）。これは、緊急手術やHDPなどIONVリスクを高める因子が単胎群に相対的に多く含まれ、双胎の独立効果を希釈していた可能性を示唆する。</w:t>
      </w:r>
    </w:p>
    <w:p>
      <w:r>
        <w:t>ただし、本サブグループ解析のイベント数は8件と極めて少なく、信頼区間が非常に広い点に留意が必要である。また、予定手術に限定することで対象が大幅に減少し（3,188例→663例）、外的妥当性が限定される。本所見は全コホート解析の結果を支持するものであるが、少数イベントに基づく推定値として解釈上の注意が必要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