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p>
      <w:r>
        <w:rPr>
          <w:b/>
        </w:rPr>
        <w:t>Editors-in-Chief</w:t>
      </w:r>
    </w:p>
    <w:p>
      <w:r>
        <w:t>Journal of Biomedical Informatics</w:t>
      </w:r>
    </w:p>
    <w:p>
      <w:r>
        <w:t>Elsevier</w:t>
      </w:r>
    </w:p>
    <w:p/>
    <w:p>
      <w:r>
        <w:t xml:space="preserve">Re: Submission of manuscript entitled </w:t>
      </w:r>
      <w:r>
        <w:rPr>
          <w:i/>
        </w:rPr>
        <w:t>"Ensemble Causal Discovery with Feedback Quantification: Integrating Spectral Graph Methods and LiNGAM for Clinical Causal Inference"</w:t>
      </w:r>
    </w:p>
    <w:p/>
    <w:p>
      <w:r>
        <w:t>Dear Editors,</w:t>
      </w:r>
    </w:p>
    <w:p/>
    <w:p>
      <w:r>
        <w:t>We are pleased to submit the above-titled manuscript for consideration as an Original Research Article in the Journal of Biomedical Informatics. This manuscript presents Ensemble Causal Discovery (ECD), a novel pipeline that integrates LiNGAM’s identifiability guarantees with spectral causality’s feedback quantification to enable clinically meaningful causal inference that accommodates feedback loops.</w:t>
      </w:r>
    </w:p>
    <w:p>
      <w:r>
        <w:t>We believe JBI is the ideal venue for this work because: (1) It directly addresses the gap between causal discovery methods and clinical applicability—a topic of growing interest in biomedical informatics. (2) The ECD pipeline produces interventionability scores that map graph-theoretic quantities to clinical actionability, providing a bridge between mathematical methods and clinical decision support. (3) We provide a practical deployment pipeline with bootstrap-based pruning that clinician-researchers can apply to their own datasets.</w:t>
      </w:r>
    </w:p>
    <w:p>
      <w:r>
        <w:t>Key contributions include:</w:t>
      </w:r>
    </w:p>
    <w:p>
      <w:pPr>
        <w:pStyle w:val="ListBullet"/>
      </w:pPr>
      <w:r>
        <w:t>A principled method for quantifying edge-level feedback rates in clinical causal graphs, allowing clinicians to identify when the DAG assumption is appropriate and when it masks important pathophysiological cycles.</w:t>
      </w:r>
    </w:p>
    <w:p>
      <w:pPr>
        <w:pStyle w:val="ListBullet"/>
      </w:pPr>
      <w:r>
        <w:t>An interventionability score linking Hodge causal potential to clinical actionability, validated against established treatment guidelines (statins for cholesterol, antihypertensives for blood pressure).</w:t>
      </w:r>
    </w:p>
    <w:p>
      <w:pPr>
        <w:pStyle w:val="ListBullet"/>
      </w:pPr>
      <w:r>
        <w:t>Broader coverage of Hill’s nine epidemiological criteria than any single method alone, with spectral causality contributing H6 (biological plausibility), H7 (coherence), and H9 (analogy).</w:t>
      </w:r>
    </w:p>
    <w:p>
      <w:pPr>
        <w:pStyle w:val="ListBullet"/>
      </w:pPr>
      <w:r>
        <w:t>A DAG transition analysis revealing that knowledge quality (p*_flip ≈ 0.15) rather than quantity is the critical threshold for valid causal structure.</w:t>
      </w:r>
    </w:p>
    <w:p/>
    <w:p>
      <w:r>
        <w:t>We confirm that this manuscript has not been previously published and is not under simultaneous consideration elsewhere. A companion paper presenting the full mathematical foundations and identifiability theory of spectral causality has been submitted separately to a theoretical venue [Reference 7 in the manuscript]. The present manuscript focuses exclusively on the ensemble framework, clinical interpretation, and practical deployment aspects that are not covered in the companion paper. All authors have approved the manuscript and agree with its submission. The authors declare no conflicts of interest.</w:t>
      </w:r>
    </w:p>
    <w:p/>
    <w:p>
      <w:r>
        <w:rPr>
          <w:b/>
        </w:rPr>
        <w:t>Suggested reviewers:</w:t>
      </w:r>
    </w:p>
    <w:p>
      <w:pPr>
        <w:pStyle w:val="ListBullet"/>
      </w:pPr>
      <w:r>
        <w:t>Prof. Markus Püschel (ETH Zürich) — Graph signal processing and causal structure</w:t>
      </w:r>
    </w:p>
    <w:p>
      <w:pPr>
        <w:pStyle w:val="ListBullet"/>
      </w:pPr>
      <w:r>
        <w:t>Prof. Kun Zhang (Carnegie Mellon University) — Causal discovery and identifiability</w:t>
      </w:r>
    </w:p>
    <w:p>
      <w:pPr>
        <w:pStyle w:val="ListBullet"/>
      </w:pPr>
      <w:r>
        <w:t>Prof. Lucila Ohno-Machado (Yale University) — Biomedical informatics and clinical causal inference</w:t>
      </w:r>
    </w:p>
    <w:p/>
    <w:p>
      <w:r>
        <w:t>Sincerely,</w:t>
      </w:r>
    </w:p>
    <w:p/>
    <w:p>
      <w:r>
        <w:rPr>
          <w:b/>
        </w:rPr>
        <w:t>[Author Name]</w:t>
      </w:r>
    </w:p>
    <w:p>
      <w:r>
        <w:t>[Affiliation]</w:t>
      </w:r>
    </w:p>
    <w:p>
      <w:r>
        <w:t>[Email]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