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120"/>
      </w:pPr>
      <w:r>
        <w:t>[PLACEHOLDER date]</w:t>
      </w:r>
    </w:p>
    <w:p>
      <w:pPr>
        <w:spacing w:line="276" w:lineRule="auto" w:after="120"/>
      </w:pPr>
      <w:r>
        <w:t>The Editors, Accident Analysis &amp; Prevention</w:t>
      </w:r>
    </w:p>
    <w:p>
      <w:pPr>
        <w:spacing w:line="276" w:lineRule="auto" w:after="120"/>
      </w:pPr>
      <w:r>
        <w:t>Dear Editors,</w:t>
      </w:r>
    </w:p>
    <w:p>
      <w:pPr>
        <w:spacing w:line="276" w:lineRule="auto" w:after="120"/>
      </w:pPr>
      <w:r>
        <w:t>We submit for your consideration our manuscript, "Ambient heat as an under-recognised risk factor for US traffic-crash mortality: a distributed-lag analysis with road-safety implications", as a Research Article.</w:t>
      </w:r>
    </w:p>
    <w:p>
      <w:pPr>
        <w:spacing w:line="276" w:lineRule="auto" w:after="120"/>
      </w:pPr>
      <w:r>
        <w:t>Climate change is increasing the frequency of dangerously hot days, and recent systematic reviews and city-level analyses have linked higher ambient temperatures to increased road traffic accidents and injuries. Using only public data, this ecological time-series study extends that evidence to a national US crash-mortality burden: days hotter than the local seasonal norm carry an acute excess of US traffic-crash deaths. The excess survives adjustment for national driving activity, is concentrated in heat-exposed open-air road users—motorcyclists, pedestrians and cyclists—and is comparable in magnitude to all officially recorded direct-heat deaths (ICD-10 X30). Scenario projections suggest this burden would grow under uniform warming. Because these deaths continue to be coded as ordinary crashes, the heat contribution remains invisible to both heat-mortality surveillance and road-safety statistics, suggesting an uncounted opportunity for targeted prevention.</w:t>
      </w:r>
    </w:p>
    <w:p>
      <w:pPr>
        <w:spacing w:line="276" w:lineRule="auto" w:after="120"/>
      </w:pPr>
      <w:r>
        <w:t>We believe this work is a strong fit for Accident Analysis &amp; Prevention: it directly addresses the journal's core scope of transportation accident injury and prevention, brings a quantitative time-series approach to the environmental and human factors that influence crash occurrence and severity, and translates the findings into a concrete, actionable implication for heat-aware road safety messaging and climate adaptation.</w:t>
      </w:r>
    </w:p>
    <w:p>
      <w:pPr>
        <w:spacing w:line="276" w:lineRule="auto" w:after="120"/>
      </w:pPr>
      <w:r>
        <w:t>The manuscript is original, is not under consideration elsewhere, and all authors approve submission. All data are public and the complete analysis pipeline is openly available and fully reproducible (make all for data and figures, then make aap for the manuscript and submission package), with no hard-coded results. We declare [PLACEHOLDER competing interests]. We confirm [PLACEHOLDER preprint status].</w:t>
      </w:r>
    </w:p>
    <w:p>
      <w:pPr>
        <w:spacing w:line="276" w:lineRule="auto" w:after="120"/>
      </w:pPr>
      <w:r>
        <w:t>We look forward to your assessment.</w:t>
      </w:r>
    </w:p>
    <w:p>
      <w:pPr>
        <w:spacing w:line="276" w:lineRule="auto" w:after="120"/>
      </w:pPr>
      <w:r>
        <w:t>Yours sincerely,</w:t>
      </w:r>
    </w:p>
    <w:p>
      <w:pPr>
        <w:spacing w:line="276" w:lineRule="auto" w:after="120"/>
      </w:pPr>
      <w:r>
        <w:t>[PLACEHOLDER corresponding author, on behalf of all authors]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