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[PLACEHOLDER author list — Given-name Family-name, degrees; ... — replace before submission]</w:t>
      </w:r>
    </w:p>
    <w:p>
      <w:pPr>
        <w:jc w:val="center"/>
      </w:pPr>
      <w:r>
        <w:t>[PLACEHOLDER affiliations, numbered to authors]</w:t>
      </w:r>
    </w:p>
    <w:p>
      <w:pPr>
        <w:jc w:val="center"/>
      </w:pPr>
      <w:r>
        <w:t>Correspondence to: [PLACEHOLDER corresponding author, address, email, ORCID]</w:t>
      </w:r>
    </w:p>
    <w:p>
      <w:pPr>
        <w:pStyle w:val="Heading1"/>
      </w:pPr>
      <w:r>
        <w:t>Abstract</w:t>
      </w:r>
    </w:p>
    <w:p>
      <w:pPr>
        <w:spacing w:after="120" w:line="480" w:lineRule="auto"/>
      </w:pPr>
      <w:r>
        <w:t>Ambient heat is an established risk factor for mortality, and heat waves are increasing. Because driving continues in heat, some fatal crashes may involve heat-related impairment or unrecorded heat illness. We estimated the US traffic-crash mortality burden and explored the same question in Japan. We fitted quasi-Poisson distributed-lag models of the local seasonal temperature anomaly to state-day (USA) and prefecture-day (Japan) panels, adjusting for spatial, seasonal, trend and day-of-week terms. Data were FARS (2016-2022), Japanese NPA accident open data (2019-2024) and GHCN-Daily temperature. In the USA (270,497 crash deaths), a +9°C anomaly was associated with higher same-day crash mortality, RR 1.165 (95% CI 1.134-1.196), and the association remained positive after adjustment for driving activity, RR 1.162 (95% CI 1.132-1.193). The excess was larger for open-air users (motorcyclists RR 2.141, pedestrians RR 1.213) than vehicle occupants (RR 1.050). Net heat-attributable deaths were 513 per year (1.33%), similar to 527 recorded direct-heat deaths (ICD-10 X30); +1 to +3°C warming projected 339-983 additional deaths per year. An exploratory Japan comparison (11,576 deaths) found the data too sparse for a precise estimate. Unusually hot days are associated with an acute excess of US crash deaths comparable to recorded direct-heat mortality, concentrated in heat-exposed road users and projected to grow with warming. This is consistent with an under-recognised heat contribution, but the study cannot establish heat illness in any individual crash and the open-air gradient may partly reflect weather-related activity. The findings suggest heat-aware road safety and climate adaptation planning could address an uncounted burden.</w:t>
      </w:r>
    </w:p>
    <w:p>
      <w:pPr>
        <w:spacing w:after="120" w:line="480" w:lineRule="auto"/>
      </w:pPr>
      <w:r/>
      <w:r>
        <w:rPr>
          <w:b/>
        </w:rPr>
        <w:t xml:space="preserve">Keywords: </w:t>
      </w:r>
      <w:r>
        <w:t>heat; traffic crash; mortality; climate change; distributed-lag model; road safety</w:t>
      </w:r>
    </w:p>
    <w:p>
      <w:pPr>
        <w:pStyle w:val="Heading1"/>
      </w:pPr>
      <w:r>
        <w:t>1. 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t xml:space="preserve"> [1,2].</w:t>
      </w:r>
      <w:r>
        <w:t xml:space="preserve"> Recent syntheses also link higher ambient temperature to increased road traffic accidents and injuries</w:t>
      </w:r>
      <w:r>
        <w:rPr/>
        <w:t xml:space="preserve"> [3,4].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2. Methods</w:t>
      </w:r>
    </w:p>
    <w:p>
      <w:pPr>
        <w:spacing w:after="40" w:line="480" w:lineRule="auto"/>
      </w:pPr>
      <w:r>
        <w:t>We built daily panels of traffic-crash deaths by US state (FARS, 2016-2022)</w:t>
      </w:r>
      <w:r>
        <w:rPr/>
        <w:t xml:space="preserve"> [5]</w:t>
      </w:r>
      <w:r>
        <w:t xml:space="preserve"> and by Japanese prefecture (NPA accident open data, 2019-2024)</w:t>
      </w:r>
      <w:r>
        <w:rPr/>
        <w:t xml:space="preserve"> [6].</w:t>
      </w:r>
      <w:r>
        <w:t xml:space="preserve"> Daily mean temperature was taken from GHCN-Daily stations</w:t>
      </w:r>
      <w:r>
        <w:rPr/>
        <w:t xml:space="preserve"> [7]</w:t>
      </w:r>
      <w:r>
        <w:t xml:space="preserve"> as the mean of TMAX and TMIN, aggregated to each spatial unit from its nearest reporting stations.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t xml:space="preserve"> [8]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Overdispersion was handled with a quasi-Poisson dispersion parameter. Net heat-attributable deaths were computed by the method of Gasparrini and Leone</w:t>
      </w:r>
      <w:r>
        <w:rPr/>
        <w:t xml:space="preserve"> [9]</w:t>
      </w:r>
      <w:r>
        <w:t xml:space="preserve"> with Monte Carlo (MC) confidence intervals (CIs). As a sensitivity analysis for the US we added national vehicle-miles travelled (VMT)</w:t>
      </w:r>
      <w:r>
        <w:rPr/>
        <w:t xml:space="preserve"> [10]</w:t>
      </w:r>
      <w:r>
        <w:t xml:space="preserve"> and finished-motor-gasoline product supplied</w:t>
      </w:r>
      <w:r>
        <w:rPr/>
        <w:t xml:space="preserve"> [11]</w:t>
      </w:r>
      <w:r>
        <w:t xml:space="preserve"> as activity proxies. Officially recorded direct-heat deaths (International Classification of Diseases, 10th revision [ICD-10] code X30) were obtained from CDC WONDER</w:t>
      </w:r>
      <w:r>
        <w:rPr/>
        <w:t xml:space="preserve"> [12].</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No ethics approval was required because the study used publicly available, aggregated and de-identified data with no individual patient records.</w:t>
      </w:r>
    </w:p>
    <w:p>
      <w:pPr>
        <w:pStyle w:val="Heading1"/>
      </w:pPr>
      <w:r>
        <w:t>3. 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0.934 (0.902-0.967), consistent with short-term displacement (harvesting) rather than a net addition of deaths (Fig. 3; Table 2). The same-day association was essentially unchanged after adjusting for national vehicle-miles travelled and gasoline supplied (RR 1.162, 95% CI 1.132-1.193), suggesting that day-to-day driving volume alone does not explain the effect.</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(1.016-1.085), but much larger for open-air users: motorcyclists, RR 2.141 (2.000-2.292); pedestrians, RR 1.213 (1.145-1.286); and cyclists, RR 1.237 (1.032-1.484), a pattern consistent with direct bodily heat exposure and physical exertion</w:t>
      </w:r>
      <w:r>
        <w:rPr/>
        <w:t xml:space="preserve"> [13].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(1.059-1.191); 25-64 y RR 1.177 (1.140-1.216); 65+ y RR 1.167 (1.104-1.234) (Table 3), giving no clear age gradient. Second, the excess was largest for crashes in the hottest part of the day (12-17 h), RR 1.212 (1.155-1.272), and weakest in the cool morning (06-11 h), RR 1.062 (1.000-1.127); the overnight band was also elevated (00-05 h), RR 1.179 (1.110-1.253),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(1.016-1.085)</w:t>
            </w:r>
          </w:p>
        </w:tc>
      </w:tr>
      <w:tr>
        <w:tc>
          <w:tcPr>
            <w:tcW w:type="dxa" w:w="2880"/>
          </w:tcPr>
          <w:p>
            <w:r>
              <w:t>Motorcyclist</w:t>
            </w:r>
          </w:p>
        </w:tc>
        <w:tc>
          <w:tcPr>
            <w:tcW w:type="dxa" w:w="2880"/>
          </w:tcPr>
          <w:p>
            <w:r>
              <w:t>38,248</w:t>
            </w:r>
          </w:p>
        </w:tc>
        <w:tc>
          <w:tcPr>
            <w:tcW w:type="dxa" w:w="2880"/>
          </w:tcPr>
          <w:p>
            <w:r>
              <w:t>2.141 (2.000-2.292)</w:t>
            </w:r>
          </w:p>
        </w:tc>
      </w:tr>
      <w:tr>
        <w:tc>
          <w:tcPr>
            <w:tcW w:type="dxa" w:w="2880"/>
          </w:tcPr>
          <w:p>
            <w:r>
              <w:t>Pedestrian</w:t>
            </w:r>
          </w:p>
        </w:tc>
        <w:tc>
          <w:tcPr>
            <w:tcW w:type="dxa" w:w="2880"/>
          </w:tcPr>
          <w:p>
            <w:r>
              <w:t>46,022</w:t>
            </w:r>
          </w:p>
        </w:tc>
        <w:tc>
          <w:tcPr>
            <w:tcW w:type="dxa" w:w="2880"/>
          </w:tcPr>
          <w:p>
            <w:r>
              <w:t>1.213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(1.140-1.216)</w:t>
            </w:r>
          </w:p>
        </w:tc>
      </w:tr>
      <w:tr>
        <w:tc>
          <w:tcPr>
            <w:tcW w:type="dxa" w:w="2880"/>
          </w:tcPr>
          <w:p>
            <w:r>
              <w:t>Age 65+ y</w:t>
            </w:r>
          </w:p>
        </w:tc>
        <w:tc>
          <w:tcPr>
            <w:tcW w:type="dxa" w:w="2880"/>
          </w:tcPr>
          <w:p>
            <w:r>
              <w:t>49,680</w:t>
            </w:r>
          </w:p>
        </w:tc>
        <w:tc>
          <w:tcPr>
            <w:tcW w:type="dxa" w:w="2880"/>
          </w:tcPr>
          <w:p>
            <w:r>
              <w:t>1.167 (1.104-1.234)</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w:t>
      </w:r>
    </w:p>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t xml:space="preserve"> [14].</w:t>
      </w:r>
      <w:r>
        <w:t xml:space="preserve"> A uniform +1 °C shift projected 339 additional US crash deaths per year (95% CI 250-428), rising to 983 (644-1356)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661 (459-864)</w:t>
            </w:r>
          </w:p>
        </w:tc>
      </w:tr>
      <w:tr>
        <w:tc>
          <w:tcPr>
            <w:tcW w:type="dxa" w:w="4320"/>
          </w:tcPr>
          <w:p>
            <w:r>
              <w:t>+3°C</w:t>
            </w:r>
          </w:p>
        </w:tc>
        <w:tc>
          <w:tcPr>
            <w:tcW w:type="dxa" w:w="4320"/>
          </w:tcPr>
          <w:p>
            <w:r>
              <w:t>983 (644-1356)</w:t>
            </w:r>
          </w:p>
        </w:tc>
      </w:tr>
    </w:tbl>
    <w:p/>
    <w:p>
      <w:pPr>
        <w:pStyle w:val="Heading2"/>
      </w:pPr>
      <w:r>
        <w:t>Exploratory Japan comparison</w:t>
      </w:r>
    </w:p>
    <w:p>
      <w:pPr>
        <w:spacing w:after="120" w:line="480" w:lineRule="auto"/>
      </w:pPr>
      <w:r>
        <w:t>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w:t>
      </w:r>
    </w:p>
    <w:p/>
    <w:p>
      <w:pPr>
        <w:spacing w:before="280"/>
      </w:pPr>
      <w:r>
        <w:rPr>
          <w:b/>
        </w:rPr>
        <w:t xml:space="preserve">Figure 10. </w:t>
      </w:r>
      <w:r>
        <w:t>Same-day rate ratio of traffic-crash deaths for a +9 °C anomaly, United States versus Japan. The US shows a precise acute effect; the Japanese estimate is underpowered.</w:t>
      </w:r>
    </w:p>
    <w:p/>
    <w:p>
      <w:pPr>
        <w:pStyle w:val="Heading1"/>
      </w:pPr>
      <w:r>
        <w:t>4. 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the 1-3 day deficit indicates that part of the excess reflects short-term displacement (harvesting). These findings are consistent with heat-related impairment or under-recognised heat illness contributing to road deaths without appearing in cause-of-death data</w:t>
      </w:r>
      <w:r>
        <w:rPr/>
        <w:t xml:space="preserve"> [3,4].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FARS and NPA carry no post-mortem heat diagnosis. Second, activity adjustment used national, not daily state-level, proxies. Third, exposure is measured at the spatial-unit level and misclassifies individual exposure. Fourth, the Japanese analysis is underpowered and inconclusive; its shorter series, far smaller death counts and sparser GHCN-Daily coverage preclude a firm estimate, and we therefore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Finally, we used a quasi-Poisson dispersion parameter but did not model residual serial correlation explicitly, which could affect confidence intervals. These findings should motivate, but cannot replace, individual-level studies linking crash decedents to ambient heat and, where available, post-mortem findings.</w:t>
      </w:r>
    </w:p>
    <w:p>
      <w:pPr>
        <w:pStyle w:val="Heading1"/>
      </w:pPr>
      <w:r>
        <w:t>5. 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[PLACEHOLDER — replace before submission.] All authors contributed to the study design, data analysis, interpretation and drafting, and approved the final manuscript. [Specify each author's contribution and who verified the underlying data.]</w:t>
      </w:r>
    </w:p>
    <w:p>
      <w:pPr>
        <w:pStyle w:val="Heading1"/>
      </w:pPr>
      <w:r>
        <w:t>Declaration of competing interests</w:t>
      </w:r>
    </w:p>
    <w:p>
      <w:pPr>
        <w:spacing w:after="120" w:line="480" w:lineRule="auto"/>
      </w:pPr>
      <w:r>
        <w:t>[PLACEHOLDER — replace before submission.] We declare no competing interests.</w:t>
      </w:r>
    </w:p>
    <w:p>
      <w:pPr>
        <w:pStyle w:val="Heading1"/>
      </w:pPr>
      <w:r>
        <w:t>Funding</w:t>
      </w:r>
    </w:p>
    <w:p>
      <w:pPr>
        <w:spacing w:after="120" w:line="480" w:lineRule="auto"/>
      </w:pPr>
      <w:r>
        <w:t>[PLACEHOLDER — replace before submission.] 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[PLACEHOLDER — confirm and adapt before submission.] Generative AI assistance was used to help develop analysis code and draft text; all methods, results and interpretations were verified by the authors, who take full responsibility for the content.</w:t>
      </w:r>
    </w:p>
    <w:p>
      <w:pPr>
        <w:pStyle w:val="Heading1"/>
      </w:pPr>
      <w:r>
        <w:t>Data availability</w:t>
      </w:r>
    </w:p>
    <w:p>
      <w:pPr>
        <w:spacing w:after="120" w:line="480" w:lineRule="auto"/>
      </w:pPr>
      <w:r>
        <w:t>All data are public: FARS, GHCN-Daily, CDC WONDER, FHWA/FRED, EIA and the Japanese NPA accident open data (see References for sources). The complete analysis code and reproducible pipeline (make all for data and figures, then make aap for the manuscript and submission package) are openly available in the project repository;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Liang M, Min M, Guo X, Song Q, Wang H, Li N, et al. The relationship between ambient temperatures and road traffic injuries: a systematic review and meta-analysis. Environ Sci Pollut Res 2022;29(33):50647-60.</w:t>
      </w:r>
    </w:p>
    <w:p>
      <w:pPr>
        <w:spacing w:after="80"/>
      </w:pPr>
      <w:r>
        <w:t>4. Liang M, Zhao D, Wu Y, Ye P, Wang Y, Yao Z, et al. Short-term effects of ambient temperature and road traffic accident injuries in Dalian, Northern China: A distributed lag non-linear analysis. Accid Anal Prev 2021;153:106057.</w:t>
      </w:r>
    </w:p>
    <w:p>
      <w:pPr>
        <w:spacing w:after="80"/>
      </w:pPr>
      <w:r>
        <w:t>5. National Highway Traffic Safety Administration. Fatality Analysis Reporting System (FARS). US Department of Transportation. https://www.nhtsa.gov/research-data/fatality-analysis-reporting-system-fars</w:t>
      </w:r>
    </w:p>
    <w:p>
      <w:pPr>
        <w:spacing w:after="80"/>
      </w:pPr>
      <w:r>
        <w:t>6. National Police Agency of Japan. Traffic accident statistics open data. https://www.npa.go.jp/publications/statistics/koutsuu/opendata/</w:t>
      </w:r>
    </w:p>
    <w:p>
      <w:pPr>
        <w:spacing w:after="80"/>
      </w:pPr>
      <w:r>
        <w:t>7. Menne MJ, Durre I, Vose RS, Gleason BE, Houston TG. An overview of the Global Historical Climatology Network-Daily database. J Atmos Ocean Technol 2012;29:897-910.</w:t>
      </w:r>
    </w:p>
    <w:p>
      <w:pPr>
        <w:spacing w:after="80"/>
      </w:pPr>
      <w:r>
        <w:t>8. Gasparrini A, Armstrong B, Kenward MG. Distributed lag non-linear models. Stat Med 2010;29:2224-34.</w:t>
      </w:r>
    </w:p>
    <w:p>
      <w:pPr>
        <w:spacing w:after="80"/>
      </w:pPr>
      <w:r>
        <w:t>9. Gasparrini A, Leone M. Attributable risk from distributed lag models. BMC Med Res Methodol 2014;14:55.</w:t>
      </w:r>
    </w:p>
    <w:p>
      <w:pPr>
        <w:spacing w:after="80"/>
      </w:pPr>
      <w:r>
        <w:t>10. Federal Highway Administration. Traffic Volume Trends. https://www.fhwa.dot.gov/policyinformation/travel_monitoring/tvt.cfm</w:t>
      </w:r>
    </w:p>
    <w:p>
      <w:pPr>
        <w:spacing w:after="80"/>
      </w:pPr>
      <w:r>
        <w:t>11. US Energy Information Administration. Weekly finished motor gasoline product supplied (PET.WGFUPUS2.W). https://www.eia.gov/</w:t>
      </w:r>
    </w:p>
    <w:p>
      <w:pPr>
        <w:spacing w:after="80"/>
      </w:pPr>
      <w:r>
        <w:t>12. Centers for Disease Control and Prevention. CDC WONDER Underlying Cause of Death database. https://wonder.cdc.gov/</w:t>
      </w:r>
    </w:p>
    <w:p>
      <w:pPr>
        <w:spacing w:after="80"/>
      </w:pPr>
      <w:r>
        <w:t>13. Daanen HAM, van de Vliert E, Huang X. Driving performance in cold, warm, and thermoneutral environments. Appl Ergon 2003;34:597-602.</w:t>
      </w:r>
    </w:p>
    <w:p>
      <w:pPr>
        <w:spacing w:after="80"/>
      </w:pPr>
      <w:r>
        <w:t>14.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