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10259</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are available in the public GitHub repository https://github.com/bougtoir/researcher-mobility-ode. The extracted cohort SQLite database (a derived aggregate of OpenAlex records) is available from the corresponding author on request, subject to the OpenAlex CC0 licence and any applicable local data-use policies.</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 Civilisation-level categories have also been shown to predict large-scale digital-communication networks</w:t>
      </w:r>
      <w:r>
        <w:rPr>
          <w:vertAlign w:val="superscript"/>
        </w:rPr>
        <w:t xml:space="preserve"> [17]</w:t>
      </w:r>
      <w:r>
        <w:t xml:space="preserve"> and country-capacity clusters in scientific mobility and collaboration</w:t>
      </w:r>
      <w:r>
        <w:rPr>
          <w:vertAlign w:val="superscript"/>
        </w:rPr>
        <w:t xml:space="preserve"> [18]</w:t>
      </w:r>
      <w:r>
        <w:t>, which supports the use of this aggregation as a cross-national research heuristic.</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r>
        <w:t>The closest point-of-no-return lever is the same under the saturating alternative for every civilisation: exogenous entry (I0) is the rate that requires the smallest proportional change to push the active pool to its minimum viable threshold. Table 5a reports the proportional factor and proximity for the active-pool threshold under both assumptions. The rank order of civilisational fragility is preserved (Spearman ρ = 1.0), and the absolute proximity values move in the same direction. This confirms that the policy ranking—exogenous entry first, then dropout, then domestic promotion and return—is robust to replacing the linear feedback with a saturating one.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origin_group</w:t>
            </w:r>
          </w:p>
        </w:tc>
        <w:tc>
          <w:tcPr>
            <w:tcW w:type="dxa" w:w="1234"/>
          </w:tcPr>
          <w:p>
            <w:r>
              <w:rPr>
                <w:b/>
              </w:rPr>
              <w:t>linear_closest</w:t>
            </w:r>
          </w:p>
        </w:tc>
        <w:tc>
          <w:tcPr>
            <w:tcW w:type="dxa" w:w="1234"/>
          </w:tcPr>
          <w:p>
            <w:r>
              <w:rPr>
                <w:b/>
              </w:rPr>
              <w:t>linear_factor</w:t>
            </w:r>
          </w:p>
        </w:tc>
        <w:tc>
          <w:tcPr>
            <w:tcW w:type="dxa" w:w="1234"/>
          </w:tcPr>
          <w:p>
            <w:r>
              <w:rPr>
                <w:b/>
              </w:rPr>
              <w:t>linear_proximity</w:t>
            </w:r>
          </w:p>
        </w:tc>
        <w:tc>
          <w:tcPr>
            <w:tcW w:type="dxa" w:w="1234"/>
          </w:tcPr>
          <w:p>
            <w:r>
              <w:rPr>
                <w:b/>
              </w:rPr>
              <w:t>saturating_closest</w:t>
            </w:r>
          </w:p>
        </w:tc>
        <w:tc>
          <w:tcPr>
            <w:tcW w:type="dxa" w:w="1234"/>
          </w:tcPr>
          <w:p>
            <w:r>
              <w:rPr>
                <w:b/>
              </w:rPr>
              <w:t>saturating_factor</w:t>
            </w:r>
          </w:p>
        </w:tc>
        <w:tc>
          <w:tcPr>
            <w:tcW w:type="dxa" w:w="1234"/>
          </w:tcPr>
          <w:p>
            <w:r>
              <w:rPr>
                <w:b/>
              </w:rPr>
              <w:t>saturating_proximity</w:t>
            </w:r>
          </w:p>
        </w:tc>
      </w:tr>
      <w:tr>
        <w:tc>
          <w:tcPr>
            <w:tcW w:type="dxa" w:w="1234"/>
          </w:tcPr>
          <w:p>
            <w:r>
              <w:t>United States</w:t>
            </w:r>
          </w:p>
        </w:tc>
        <w:tc>
          <w:tcPr>
            <w:tcW w:type="dxa" w:w="1234"/>
          </w:tcPr>
          <w:p>
            <w:r>
              <w:t>I0</w:t>
            </w:r>
          </w:p>
        </w:tc>
        <w:tc>
          <w:tcPr>
            <w:tcW w:type="dxa" w:w="1234"/>
          </w:tcPr>
          <w:p>
            <w:r>
              <w:t>0.0125</w:t>
            </w:r>
          </w:p>
        </w:tc>
        <w:tc>
          <w:tcPr>
            <w:tcW w:type="dxa" w:w="1234"/>
          </w:tcPr>
          <w:p>
            <w:r>
              <w:t>0.9875</w:t>
            </w:r>
          </w:p>
        </w:tc>
        <w:tc>
          <w:tcPr>
            <w:tcW w:type="dxa" w:w="1234"/>
          </w:tcPr>
          <w:p>
            <w:r>
              <w:t>I0</w:t>
            </w:r>
          </w:p>
        </w:tc>
        <w:tc>
          <w:tcPr>
            <w:tcW w:type="dxa" w:w="1234"/>
          </w:tcPr>
          <w:p>
            <w:r>
              <w:t>0.0112</w:t>
            </w:r>
          </w:p>
        </w:tc>
        <w:tc>
          <w:tcPr>
            <w:tcW w:type="dxa" w:w="1234"/>
          </w:tcPr>
          <w:p>
            <w:r>
              <w:t>0.9888</w:t>
            </w:r>
          </w:p>
        </w:tc>
      </w:tr>
      <w:tr>
        <w:tc>
          <w:tcPr>
            <w:tcW w:type="dxa" w:w="1234"/>
          </w:tcPr>
          <w:p>
            <w:r>
              <w:t>Anglosphere ex-US</w:t>
            </w:r>
          </w:p>
        </w:tc>
        <w:tc>
          <w:tcPr>
            <w:tcW w:type="dxa" w:w="1234"/>
          </w:tcPr>
          <w:p>
            <w:r>
              <w:t>I0</w:t>
            </w:r>
          </w:p>
        </w:tc>
        <w:tc>
          <w:tcPr>
            <w:tcW w:type="dxa" w:w="1234"/>
          </w:tcPr>
          <w:p>
            <w:r>
              <w:t>0.0471</w:t>
            </w:r>
          </w:p>
        </w:tc>
        <w:tc>
          <w:tcPr>
            <w:tcW w:type="dxa" w:w="1234"/>
          </w:tcPr>
          <w:p>
            <w:r>
              <w:t>0.9529</w:t>
            </w:r>
          </w:p>
        </w:tc>
        <w:tc>
          <w:tcPr>
            <w:tcW w:type="dxa" w:w="1234"/>
          </w:tcPr>
          <w:p>
            <w:r>
              <w:t>I0</w:t>
            </w:r>
          </w:p>
        </w:tc>
        <w:tc>
          <w:tcPr>
            <w:tcW w:type="dxa" w:w="1234"/>
          </w:tcPr>
          <w:p>
            <w:r>
              <w:t>0.0424</w:t>
            </w:r>
          </w:p>
        </w:tc>
        <w:tc>
          <w:tcPr>
            <w:tcW w:type="dxa" w:w="1234"/>
          </w:tcPr>
          <w:p>
            <w:r>
              <w:t>0.9576</w:t>
            </w:r>
          </w:p>
        </w:tc>
      </w:tr>
      <w:tr>
        <w:tc>
          <w:tcPr>
            <w:tcW w:type="dxa" w:w="1234"/>
          </w:tcPr>
          <w:p>
            <w:r>
              <w:t>Continental Europe</w:t>
            </w:r>
          </w:p>
        </w:tc>
        <w:tc>
          <w:tcPr>
            <w:tcW w:type="dxa" w:w="1234"/>
          </w:tcPr>
          <w:p>
            <w:r>
              <w:t>I0</w:t>
            </w:r>
          </w:p>
        </w:tc>
        <w:tc>
          <w:tcPr>
            <w:tcW w:type="dxa" w:w="1234"/>
          </w:tcPr>
          <w:p>
            <w:r>
              <w:t>0.0201</w:t>
            </w:r>
          </w:p>
        </w:tc>
        <w:tc>
          <w:tcPr>
            <w:tcW w:type="dxa" w:w="1234"/>
          </w:tcPr>
          <w:p>
            <w:r>
              <w:t>0.9799</w:t>
            </w:r>
          </w:p>
        </w:tc>
        <w:tc>
          <w:tcPr>
            <w:tcW w:type="dxa" w:w="1234"/>
          </w:tcPr>
          <w:p>
            <w:r>
              <w:t>I0</w:t>
            </w:r>
          </w:p>
        </w:tc>
        <w:tc>
          <w:tcPr>
            <w:tcW w:type="dxa" w:w="1234"/>
          </w:tcPr>
          <w:p>
            <w:r>
              <w:t>0.0178</w:t>
            </w:r>
          </w:p>
        </w:tc>
        <w:tc>
          <w:tcPr>
            <w:tcW w:type="dxa" w:w="1234"/>
          </w:tcPr>
          <w:p>
            <w:r>
              <w:t>0.9822</w:t>
            </w:r>
          </w:p>
        </w:tc>
      </w:tr>
      <w:tr>
        <w:tc>
          <w:tcPr>
            <w:tcW w:type="dxa" w:w="1234"/>
          </w:tcPr>
          <w:p>
            <w:r>
              <w:t>Sinic</w:t>
            </w:r>
          </w:p>
        </w:tc>
        <w:tc>
          <w:tcPr>
            <w:tcW w:type="dxa" w:w="1234"/>
          </w:tcPr>
          <w:p>
            <w:r>
              <w:t>I0</w:t>
            </w:r>
          </w:p>
        </w:tc>
        <w:tc>
          <w:tcPr>
            <w:tcW w:type="dxa" w:w="1234"/>
          </w:tcPr>
          <w:p>
            <w:r>
              <w:t>0.0103</w:t>
            </w:r>
          </w:p>
        </w:tc>
        <w:tc>
          <w:tcPr>
            <w:tcW w:type="dxa" w:w="1234"/>
          </w:tcPr>
          <w:p>
            <w:r>
              <w:t>0.9897</w:t>
            </w:r>
          </w:p>
        </w:tc>
        <w:tc>
          <w:tcPr>
            <w:tcW w:type="dxa" w:w="1234"/>
          </w:tcPr>
          <w:p>
            <w:r>
              <w:t>I0</w:t>
            </w:r>
          </w:p>
        </w:tc>
        <w:tc>
          <w:tcPr>
            <w:tcW w:type="dxa" w:w="1234"/>
          </w:tcPr>
          <w:p>
            <w:r>
              <w:t>0.0089</w:t>
            </w:r>
          </w:p>
        </w:tc>
        <w:tc>
          <w:tcPr>
            <w:tcW w:type="dxa" w:w="1234"/>
          </w:tcPr>
          <w:p>
            <w:r>
              <w:t>0.9911</w:t>
            </w:r>
          </w:p>
        </w:tc>
      </w:tr>
      <w:tr>
        <w:tc>
          <w:tcPr>
            <w:tcW w:type="dxa" w:w="1234"/>
          </w:tcPr>
          <w:p>
            <w:r>
              <w:t>Japanese</w:t>
            </w:r>
          </w:p>
        </w:tc>
        <w:tc>
          <w:tcPr>
            <w:tcW w:type="dxa" w:w="1234"/>
          </w:tcPr>
          <w:p>
            <w:r>
              <w:t>I0</w:t>
            </w:r>
          </w:p>
        </w:tc>
        <w:tc>
          <w:tcPr>
            <w:tcW w:type="dxa" w:w="1234"/>
          </w:tcPr>
          <w:p>
            <w:r>
              <w:t>0.0611</w:t>
            </w:r>
          </w:p>
        </w:tc>
        <w:tc>
          <w:tcPr>
            <w:tcW w:type="dxa" w:w="1234"/>
          </w:tcPr>
          <w:p>
            <w:r>
              <w:t>0.9389</w:t>
            </w:r>
          </w:p>
        </w:tc>
        <w:tc>
          <w:tcPr>
            <w:tcW w:type="dxa" w:w="1234"/>
          </w:tcPr>
          <w:p>
            <w:r>
              <w:t>I0</w:t>
            </w:r>
          </w:p>
        </w:tc>
        <w:tc>
          <w:tcPr>
            <w:tcW w:type="dxa" w:w="1234"/>
          </w:tcPr>
          <w:p>
            <w:r>
              <w:t>0.0585</w:t>
            </w:r>
          </w:p>
        </w:tc>
        <w:tc>
          <w:tcPr>
            <w:tcW w:type="dxa" w:w="1234"/>
          </w:tcPr>
          <w:p>
            <w:r>
              <w:t>0.9415</w:t>
            </w:r>
          </w:p>
        </w:tc>
      </w:tr>
      <w:tr>
        <w:tc>
          <w:tcPr>
            <w:tcW w:type="dxa" w:w="1234"/>
          </w:tcPr>
          <w:p>
            <w:r>
              <w:t>Hindu</w:t>
            </w:r>
          </w:p>
        </w:tc>
        <w:tc>
          <w:tcPr>
            <w:tcW w:type="dxa" w:w="1234"/>
          </w:tcPr>
          <w:p>
            <w:r>
              <w:t>I0</w:t>
            </w:r>
          </w:p>
        </w:tc>
        <w:tc>
          <w:tcPr>
            <w:tcW w:type="dxa" w:w="1234"/>
          </w:tcPr>
          <w:p>
            <w:r>
              <w:t>0.0421</w:t>
            </w:r>
          </w:p>
        </w:tc>
        <w:tc>
          <w:tcPr>
            <w:tcW w:type="dxa" w:w="1234"/>
          </w:tcPr>
          <w:p>
            <w:r>
              <w:t>0.9579</w:t>
            </w:r>
          </w:p>
        </w:tc>
        <w:tc>
          <w:tcPr>
            <w:tcW w:type="dxa" w:w="1234"/>
          </w:tcPr>
          <w:p>
            <w:r>
              <w:t>I0</w:t>
            </w:r>
          </w:p>
        </w:tc>
        <w:tc>
          <w:tcPr>
            <w:tcW w:type="dxa" w:w="1234"/>
          </w:tcPr>
          <w:p>
            <w:r>
              <w:t>0.0344</w:t>
            </w:r>
          </w:p>
        </w:tc>
        <w:tc>
          <w:tcPr>
            <w:tcW w:type="dxa" w:w="1234"/>
          </w:tcPr>
          <w:p>
            <w:r>
              <w:t>0.9656</w:t>
            </w:r>
          </w:p>
        </w:tc>
      </w:tr>
      <w:tr>
        <w:tc>
          <w:tcPr>
            <w:tcW w:type="dxa" w:w="1234"/>
          </w:tcPr>
          <w:p>
            <w:r>
              <w:t>Islamic</w:t>
            </w:r>
          </w:p>
        </w:tc>
        <w:tc>
          <w:tcPr>
            <w:tcW w:type="dxa" w:w="1234"/>
          </w:tcPr>
          <w:p>
            <w:r>
              <w:t>I0</w:t>
            </w:r>
          </w:p>
        </w:tc>
        <w:tc>
          <w:tcPr>
            <w:tcW w:type="dxa" w:w="1234"/>
          </w:tcPr>
          <w:p>
            <w:r>
              <w:t>0.0255</w:t>
            </w:r>
          </w:p>
        </w:tc>
        <w:tc>
          <w:tcPr>
            <w:tcW w:type="dxa" w:w="1234"/>
          </w:tcPr>
          <w:p>
            <w:r>
              <w:t>0.9745</w:t>
            </w:r>
          </w:p>
        </w:tc>
        <w:tc>
          <w:tcPr>
            <w:tcW w:type="dxa" w:w="1234"/>
          </w:tcPr>
          <w:p>
            <w:r>
              <w:t>I0</w:t>
            </w:r>
          </w:p>
        </w:tc>
        <w:tc>
          <w:tcPr>
            <w:tcW w:type="dxa" w:w="1234"/>
          </w:tcPr>
          <w:p>
            <w:r>
              <w:t>0.0212</w:t>
            </w:r>
          </w:p>
        </w:tc>
        <w:tc>
          <w:tcPr>
            <w:tcW w:type="dxa" w:w="1234"/>
          </w:tcPr>
          <w:p>
            <w:r>
              <w:t>0.9788</w:t>
            </w:r>
          </w:p>
        </w:tc>
      </w:tr>
      <w:tr>
        <w:tc>
          <w:tcPr>
            <w:tcW w:type="dxa" w:w="1234"/>
          </w:tcPr>
          <w:p>
            <w:r>
              <w:t>Other Western</w:t>
            </w:r>
          </w:p>
        </w:tc>
        <w:tc>
          <w:tcPr>
            <w:tcW w:type="dxa" w:w="1234"/>
          </w:tcPr>
          <w:p>
            <w:r>
              <w:t>I0</w:t>
            </w:r>
          </w:p>
        </w:tc>
        <w:tc>
          <w:tcPr>
            <w:tcW w:type="dxa" w:w="1234"/>
          </w:tcPr>
          <w:p>
            <w:r>
              <w:t>0.3319</w:t>
            </w:r>
          </w:p>
        </w:tc>
        <w:tc>
          <w:tcPr>
            <w:tcW w:type="dxa" w:w="1234"/>
          </w:tcPr>
          <w:p>
            <w:r>
              <w:t>0.6681</w:t>
            </w:r>
          </w:p>
        </w:tc>
        <w:tc>
          <w:tcPr>
            <w:tcW w:type="dxa" w:w="1234"/>
          </w:tcPr>
          <w:p>
            <w:r>
              <w:t>I0</w:t>
            </w:r>
          </w:p>
        </w:tc>
        <w:tc>
          <w:tcPr>
            <w:tcW w:type="dxa" w:w="1234"/>
          </w:tcPr>
          <w:p>
            <w:r>
              <w:t>0.3074</w:t>
            </w:r>
          </w:p>
        </w:tc>
        <w:tc>
          <w:tcPr>
            <w:tcW w:type="dxa" w:w="1234"/>
          </w:tcPr>
          <w:p>
            <w:r>
              <w:t>0.6926</w:t>
            </w:r>
          </w:p>
        </w:tc>
      </w:tr>
      <w:tr>
        <w:tc>
          <w:tcPr>
            <w:tcW w:type="dxa" w:w="1234"/>
          </w:tcPr>
          <w:p>
            <w:r>
              <w:t>Other Civilizations</w:t>
            </w:r>
          </w:p>
        </w:tc>
        <w:tc>
          <w:tcPr>
            <w:tcW w:type="dxa" w:w="1234"/>
          </w:tcPr>
          <w:p>
            <w:r>
              <w:t>I0</w:t>
            </w:r>
          </w:p>
        </w:tc>
        <w:tc>
          <w:tcPr>
            <w:tcW w:type="dxa" w:w="1234"/>
          </w:tcPr>
          <w:p>
            <w:r>
              <w:t>0.0349</w:t>
            </w:r>
          </w:p>
        </w:tc>
        <w:tc>
          <w:tcPr>
            <w:tcW w:type="dxa" w:w="1234"/>
          </w:tcPr>
          <w:p>
            <w:r>
              <w:t>0.9651</w:t>
            </w:r>
          </w:p>
        </w:tc>
        <w:tc>
          <w:tcPr>
            <w:tcW w:type="dxa" w:w="1234"/>
          </w:tcPr>
          <w:p>
            <w:r>
              <w:t>I0</w:t>
            </w:r>
          </w:p>
        </w:tc>
        <w:tc>
          <w:tcPr>
            <w:tcW w:type="dxa" w:w="1234"/>
          </w:tcPr>
          <w:p>
            <w:r>
              <w:t>0.0312</w:t>
            </w:r>
          </w:p>
        </w:tc>
        <w:tc>
          <w:tcPr>
            <w:tcW w:type="dxa" w:w="1234"/>
          </w:tcPr>
          <w:p>
            <w:r>
              <w:t>0.9688</w:t>
            </w:r>
          </w:p>
        </w:tc>
      </w:tr>
    </w:tbl>
    <w:p>
      <w:pPr>
        <w:jc w:val="center"/>
      </w:pPr>
      <w:r>
        <w:rPr>
          <w:i/>
        </w:rPr>
        <w:t>Table 5a. Closest PNR lever and proximity under linear and saturating endogenous inflow (active-pool threshold).</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Stock-level accuracy is RMSE 10190.39 and MAPE 129.0% (a non-standard, conservative measure computed against count_obs + 1 to avoid division by zero). These stock-level metrics are not a fair test of the model: the estimation cohort is fixed to authors whose careers began by 2016, so observed post-2016 counts cannot include the new entrants that the projection adds each year. The projection therefore necessarily diverges from observed stocks for any civilisation with positive recruitment. A cleaner validation is at the rate level: the projected transition rates have RMSE 0.0892 and MAE 0.0364, and the model's skill relative to a historical-mean baseline is 0.99. By rate, the best relative skill is for h_A (1.48× the historical-mean RMSE), while the weakest is for p_D (0.66×). These figures show that the annual layer captures rate drift at least as well as a naive mean forecast, and should be read as a directional early-warning indicator of drift and threshold proximity rather than as a precise population forecast.</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observed threshold-crossing group-years (n = 5) all occur for the smallest civilisation in the post-2016 fixed cohort; they reflect the depletion of that cohort as careers mature, not a projected collapse. The projection, by construction, adds new entrants each year and therefore does not predict such within-cohort depletion. A zero sensitivity in this hold-out is thus a consequence of the fixed-cohort validation design, not evidence that the model misses genuine collapse events.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[19]</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[20]</w:t>
      </w:r>
      <w:r>
        <w:t>, in which the central question is not only who wins the current round but whether the global system retains enough diversity for future rounds</w:t>
      </w:r>
      <w:r>
        <w:rPr>
          <w:vertAlign w:val="superscript"/>
        </w:rPr>
        <w:t xml:space="preserve"> [21]</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Mapping the model levers to actors sharpens the translation: I0 and h_D are primarily owned by national funding agencies and ministries that set doctoral, postdoctoral and independent-lab budgets; p_D and d are owned by universities and department heads through promotion, retention and work-life policies; β is influenced by diaspora networks, return grants, dual appointments and private-sector R&amp;D recruitment.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State B, Park P, Weber I, Macy M. The mesh of civilizations in the global network of digital communication. PLoS ONE. 2015;10(5):e0122543. https://doi.org/10.1371/journal.pone.0122543</w:t>
      </w:r>
    </w:p>
    <w:p>
      <w:r>
        <w:t>18. Chinchilla-Rodríguez Z, Miao L, Murray D, Robinson-García N, Costas R, Sugimoto C R. A global comparison of scientific mobility and collaboration according to national scientific capacities. Front Res Metr Anal. 2018;3:17. https://doi.org/10.3389/frma.2018.00017</w:t>
      </w:r>
    </w:p>
    <w:p>
      <w:r>
        <w:t>19. Freeman R B, Huang W. Collaboration: Strength in diversity. Nature. 2014;513(7518):305. https://doi.org/10.1038/513305a</w:t>
      </w:r>
    </w:p>
    <w:p>
      <w:r>
        <w:t>20. Shachar A. The Race for Talent: Highly Skilled Migrants and Competitive Immigration Regimes. NYU Law Rev. 2006;81(1):148-206.</w:t>
      </w:r>
    </w:p>
    <w:p>
      <w:r>
        <w:t>21.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