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3144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among the four primary codes ranged from 53.7% to 87.2%.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The association persisted with log-transformed ratios (</w:t>
      </w:r>
      <m:oMath>
        <m:r>
          <m:t xml:space="preserve">β </m:t>
        </m:r>
        <m:r>
          <m:t xml:space="preserve">= </m:t>
        </m:r>
        <m:r>
          <m:t xml:space="preserve">0.75</m:t>
        </m:r>
        <m:r>
          <m:t xml:space="preserve">, </m:t>
        </m:r>
        <m:r>
          <m:t xml:space="preserve">95% CI </m:t>
        </m:r>
        <m:r>
          <m:t xml:space="preserve">0.61 </m:t>
        </m:r>
        <m:r>
          <m:t xml:space="preserve">to </m:t>
        </m:r>
        <m:r>
          <m:t xml:space="preserve">0.89</m:t>
        </m:r>
        <m:r>
          <m:t xml:space="preserve">, </m:t>
        </m:r>
        <m:r>
          <m:t xml:space="preserve">P </m:t>
        </m:r>
        <m:r>
          <m:t xml:space="preserve">&lt;</m:t>
        </m:r>
        <m:r>
          <m:t xml:space="preserve">0.001</m:t>
        </m:r>
      </m:oMath>
      <w:r>
        <w:rPr>
          <w:rFonts w:ascii="Times New Roman" w:hAnsi="Times New Roman"/>
          <w:sz w:val="24"/>
        </w:rPr>
        <w:t>). Maximum plausible audit-related ratio shifts were small relative to the observed interquartile range.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neuraxial anaesthesia; small-area variation; multilevel analysis; quality of care; perioperative medicine; health equity;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The FY2022 data predate the 2026 clarification of the general-anaesthesia billing code, so any residual coding ambiguity present at that time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 xml:space="preserve">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w:t>
      </w:r>
      <m:oMath>
        <m:sSup>
          <m:e>
            <m:r>
              <m:t xml:space="preserve">R</m:t>
            </m:r>
          </m:e>
          <m:sup>
            <m:r>
              <m:t xml:space="preserve">2</m:t>
            </m:r>
          </m:sup>
        </m:sSup>
      </m:oMath>
      <w:r>
        <w:rPr>
          <w:rFonts w:ascii="Times New Roman" w:hAnsi="Times New Roman"/>
          <w:sz w:val="24"/>
        </w:rPr>
        <w:t>) measured the decrease in total (prefecture-level plus residual) variance after adding the university-hospital fixed effect. We decomposed within-prefecture variance into components attributable to university-hospital presence and residual variation.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 xml:space="preserve">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(Table 2). A log-transformed sensitivity model yielded the same direction of association for general anaesthesia (</w:t>
      </w:r>
      <m:oMath>
        <m:r>
          <m:t xml:space="preserve">β </m:t>
        </m:r>
        <m:r>
          <m:t xml:space="preserve">= </m:t>
        </m:r>
        <m:r>
          <m:t xml:space="preserve">0.75</m:t>
        </m:r>
        <m:r>
          <m:t xml:space="preserve">, </m:t>
        </m:r>
        <m:r>
          <m:t xml:space="preserve">95% CI </m:t>
        </m:r>
        <m:r>
          <m:t xml:space="preserve">0.61 </m:t>
        </m:r>
        <m:r>
          <m:t xml:space="preserve">to </m:t>
        </m:r>
        <m:r>
          <m:t xml:space="preserve">0.89</m:t>
        </m:r>
        <m:r>
          <m:t xml:space="preserve">, </m:t>
        </m:r>
        <m:r>
          <m:t xml:space="preserve">P </m:t>
        </m:r>
        <m:r>
          <m:t xml:space="preserve">&lt;</m:t>
        </m:r>
        <m:r>
          <m:t xml:space="preserve">0.001</m:t>
        </m:r>
      </m:oMath>
      <w:r>
        <w:rPr>
          <w:rFonts w:ascii="Times New Roman" w:hAnsi="Times New Roman"/>
          <w:sz w:val="24"/>
        </w:rPr>
        <w:t xml:space="preserve">), supporting the robustness of the linear model findings to right-skewed ratios and extreme outliers.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