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0"/>
        </w:rPr>
        <w:t xml:space="preserve">Running head: </w:t>
      </w:r>
      <w:r>
        <w:rPr>
          <w:b w:val="0"/>
          <w:i w:val="0"/>
          <w:sz w:val="20"/>
        </w:rPr>
        <w:t>EU desflurane ban and anaesthetic equipment economics</w:t>
      </w:r>
    </w:p>
    <w:p/>
    <w:p>
      <w:pPr>
        <w:jc w:val="center"/>
      </w:pPr>
      <w:r>
        <w:rPr>
          <w:b/>
          <w:sz w:val="28"/>
        </w:rPr>
        <w:t>Economic consequences of the European Union desflurane ban for anaesthetic equipment: a cross-sectional time-series analysis of secondary market vaporiser prices</w:t>
      </w:r>
    </w:p>
    <w:p/>
    <w:p>
      <w:pPr>
        <w:jc w:val="center"/>
      </w:pPr>
      <w:r>
        <w:rPr>
          <w:b w:val="0"/>
          <w:i/>
          <w:sz w:val="22"/>
        </w:rPr>
        <w:t>[Author names to be inserted]</w:t>
      </w:r>
    </w:p>
    <w:p>
      <w:pPr>
        <w:jc w:val="center"/>
      </w:pPr>
      <w:r>
        <w:rPr>
          <w:b w:val="0"/>
          <w:i/>
          <w:sz w:val="20"/>
        </w:rPr>
        <w:t>[Affiliations to be inserted]</w:t>
      </w:r>
    </w:p>
    <w:p/>
    <w:p>
      <w:r>
        <w:rPr>
          <w:b/>
          <w:i w:val="0"/>
          <w:sz w:val="20"/>
        </w:rPr>
        <w:t xml:space="preserve">Corresponding author: </w:t>
      </w:r>
      <w:r>
        <w:rPr>
          <w:b w:val="0"/>
          <w:i w:val="0"/>
          <w:sz w:val="20"/>
        </w:rPr>
        <w:t>[Name, Department, Institution, Address, Country. Tel: [number]; e-mail: [address]]</w:t>
      </w:r>
    </w:p>
    <w:p/>
    <w:p>
      <w:r>
        <w:rPr>
          <w:b w:val="0"/>
          <w:i w:val="0"/>
          <w:sz w:val="20"/>
        </w:rPr>
        <w:t>Abstract word count: ~290 (max 300)</w:t>
      </w:r>
    </w:p>
    <w:p>
      <w:r>
        <w:rPr>
          <w:b w:val="0"/>
          <w:i w:val="0"/>
          <w:sz w:val="20"/>
        </w:rPr>
        <w:t>Main text word count: ~2200 (max 3500, excluding abstract, references, tables, figure legends)</w:t>
      </w:r>
    </w:p>
    <w:p>
      <w:r>
        <w:rPr>
          <w:b w:val="0"/>
          <w:i w:val="0"/>
          <w:sz w:val="20"/>
        </w:rPr>
        <w:t>Number of references: 18</w:t>
      </w:r>
    </w:p>
    <w:p>
      <w:r>
        <w:rPr>
          <w:b w:val="0"/>
          <w:i w:val="0"/>
          <w:sz w:val="20"/>
        </w:rPr>
        <w:t>Number of tables: 2 (+1 supplementary)</w:t>
      </w:r>
    </w:p>
    <w:p>
      <w:r>
        <w:rPr>
          <w:b w:val="0"/>
          <w:i w:val="0"/>
          <w:sz w:val="20"/>
        </w:rPr>
        <w:t>Number of figures: 6 (submitted as separate files)</w:t>
      </w:r>
    </w:p>
    <w:p/>
    <w:p>
      <w:r>
        <w:rPr>
          <w:b/>
          <w:i w:val="0"/>
          <w:sz w:val="20"/>
        </w:rPr>
        <w:t xml:space="preserve">Keywords: </w:t>
      </w:r>
      <w:r>
        <w:rPr>
          <w:b w:val="0"/>
          <w:i w:val="0"/>
          <w:sz w:val="20"/>
        </w:rPr>
        <w:t>anaesthetic vaporiser, desflurane, environmental regulation, F-gas, secondary market, EU regulation, equipment management, capital asset lifecycle</w:t>
      </w:r>
    </w:p>
    <w:p>
      <w:r>
        <w:br w:type="page"/>
      </w:r>
    </w:p>
    <w:p>
      <w:pPr>
        <w:pStyle w:val="Heading1"/>
      </w:pPr>
      <w:r>
        <w:rPr>
          <w:color w:val="000000"/>
        </w:rPr>
        <w:t>Abstract</w:t>
      </w:r>
    </w:p>
    <w:p>
      <w:r>
        <w:rPr>
          <w:b/>
          <w:i/>
          <w:sz w:val="22"/>
        </w:rPr>
        <w:t xml:space="preserve">Background: </w:t>
      </w:r>
      <w:r>
        <w:rPr>
          <w:b w:val="0"/>
          <w:i w:val="0"/>
          <w:sz w:val="22"/>
        </w:rPr>
        <w:t>Desflurane possesses a global warming potential approximately 2540 times that of CO₂, making it the most environmentally harmful volatile anaesthetic agent in routine clinical use. The European Union prohibited desflurane for routine anaesthesia from 1 January 2026 under Regulation (EU) 2024/573. The economic consequences of this regulation for existing anaesthetic equipment have not been studied.</w:t>
      </w:r>
    </w:p>
    <w:p>
      <w:r>
        <w:rPr>
          <w:b/>
          <w:i/>
          <w:sz w:val="22"/>
        </w:rPr>
        <w:t xml:space="preserve">Objective: </w:t>
      </w:r>
      <w:r>
        <w:rPr>
          <w:b w:val="0"/>
          <w:i w:val="0"/>
          <w:sz w:val="22"/>
        </w:rPr>
        <w:t>To investigate whether the EU desflurane regulation was associated with changes in secondary market prices of anaesthetic vaporisers, and whether such changes were agent-specific.</w:t>
      </w:r>
    </w:p>
    <w:p>
      <w:r>
        <w:rPr>
          <w:b/>
          <w:i/>
          <w:sz w:val="22"/>
        </w:rPr>
        <w:t xml:space="preserve">Design: </w:t>
      </w:r>
      <w:r>
        <w:rPr>
          <w:b w:val="0"/>
          <w:i w:val="0"/>
          <w:sz w:val="22"/>
        </w:rPr>
        <w:t>Cross-sectional time-series analysis of completed online sales.</w:t>
      </w:r>
    </w:p>
    <w:p>
      <w:r>
        <w:rPr>
          <w:b/>
          <w:i/>
          <w:sz w:val="22"/>
        </w:rPr>
        <w:t xml:space="preserve">Setting: </w:t>
      </w:r>
      <w:r>
        <w:rPr>
          <w:b w:val="0"/>
          <w:i w:val="0"/>
          <w:sz w:val="22"/>
        </w:rPr>
        <w:t>eBay (www.ebay.com), the world’s largest online marketplace. Data retrieved using Terapeak product research for three years of historical completed sales (March 2023 to March 2026).</w:t>
      </w:r>
    </w:p>
    <w:p>
      <w:r>
        <w:rPr>
          <w:b/>
          <w:i/>
          <w:sz w:val="22"/>
        </w:rPr>
        <w:t xml:space="preserve">Main outcome measures: </w:t>
      </w:r>
      <w:r>
        <w:rPr>
          <w:b w:val="0"/>
          <w:i w:val="0"/>
          <w:sz w:val="22"/>
        </w:rPr>
        <w:t>Sale prices (US dollars) of desflurane, sevoflurane and isoflurane vaporisers. Temporal trends assessed by Spearman rank correlation and Kendall τ across ordered regulatory phases. Pre-/post-ban comparison by Mann–Whitney U test with Cohen’s d effect size and between-agent z-test for independent effect sizes.</w:t>
      </w:r>
    </w:p>
    <w:p>
      <w:r>
        <w:rPr>
          <w:b/>
          <w:i/>
          <w:sz w:val="22"/>
        </w:rPr>
        <w:t xml:space="preserve">Results: </w:t>
      </w:r>
      <w:r>
        <w:rPr>
          <w:b w:val="0"/>
          <w:i w:val="0"/>
          <w:sz w:val="22"/>
        </w:rPr>
        <w:t>1033 completed sales were analysed (158 desflurane, 321 sevoflurane, 554 isoflurane). Desflurane vaporiser prices showed a significant downward trend (Spearman ρ=-0.28, P&lt;0.001; Kendall τ=-0.12, P=0.049), with a 31% decline from pre-ban (mean US$238 ± 195) to post-ban (US$164 ± 113; Cohen’s d=-0.47). Neither sevoflurane (ρ=0.01, P=0.862) nor isoflurane (ρ=-0.09, P=0.044) showed significant temporal trends. Between-agent comparison confirmed the agent-specificity of the decline: the desflurane effect size was significantly larger than that of sevoflurane (Δd=-0.64, P=0.043).</w:t>
      </w:r>
    </w:p>
    <w:p>
      <w:r>
        <w:rPr>
          <w:b/>
          <w:i/>
          <w:sz w:val="22"/>
        </w:rPr>
        <w:t xml:space="preserve">Conclusions: </w:t>
      </w:r>
      <w:r>
        <w:rPr>
          <w:b w:val="0"/>
          <w:i w:val="0"/>
          <w:sz w:val="22"/>
        </w:rPr>
        <w:t>The EU desflurane regulation was associated with a progressive, agent-specific decline in secondary market vaporiser prices that began during the legislative process, before formal prohibition. This anticipatory market response suggests that well-signalled, evidence-based regulation generates predictable economic consequences; early compliance during the regulatory cycle was associated with better cost recovery, potentially freeing capital for reinvestment in alternative equipment and supporting broader anaesthetic choice.</w:t>
      </w:r>
    </w:p>
    <w:p>
      <w:r>
        <w:br w:type="page"/>
      </w:r>
    </w:p>
    <w:p>
      <w:pPr>
        <w:pStyle w:val="Heading1"/>
      </w:pPr>
      <w:r>
        <w:rPr>
          <w:color w:val="000000"/>
        </w:rPr>
        <w:t>Introduction</w:t>
      </w:r>
    </w:p>
    <w:p>
      <w:r>
        <w:rPr>
          <w:sz w:val="22"/>
        </w:rPr>
        <w:t>Inhaled anaesthetic agents contribute substantially to the carbon footprint of healthcare.</w:t>
      </w:r>
      <w:r>
        <w:rPr>
          <w:sz w:val="22"/>
          <w:vertAlign w:val="superscript"/>
        </w:rPr>
        <w:t>1–3</w:t>
      </w:r>
      <w:r>
        <w:rPr>
          <w:sz w:val="22"/>
        </w:rPr>
        <w:t xml:space="preserve"> Desflurane, while valued for its rapid onset and recovery profile, possesses a global warming potential (GWP) of approximately 2540 CO₂ equivalents over a 100-year time horizon, making it the most environmentally harmful volatile anaesthetic agent in routine clinical use.</w:t>
      </w:r>
      <w:r>
        <w:rPr>
          <w:sz w:val="22"/>
          <w:vertAlign w:val="superscript"/>
        </w:rPr>
        <w:t>4,5</w:t>
      </w:r>
      <w:r>
        <w:rPr>
          <w:sz w:val="22"/>
        </w:rPr>
        <w:t xml:space="preserve"> By comparison, sevoflurane has a GWP of approximately 130, and isoflurane approximately 510.</w:t>
      </w:r>
      <w:r>
        <w:rPr>
          <w:sz w:val="22"/>
          <w:vertAlign w:val="superscript"/>
        </w:rPr>
        <w:t>6,7</w:t>
      </w:r>
      <w:r>
        <w:rPr>
          <w:sz w:val="22"/>
        </w:rPr>
      </w:r>
    </w:p>
    <w:p>
      <w:r>
        <w:rPr>
          <w:sz w:val="22"/>
        </w:rPr>
        <w:t>The regulatory pathway toward restricting desflurane in Europe evolved through several key milestones. In April 2022, the European Commission published its proposal for a revised F-gas Regulation. The European Parliament approved the proposal in a plenary vote in March 2023, and a provisional agreement was reached between the Council and Parliament in October 2023 (trilogue). The regulation was formally adopted as Regulation (EU) 2024/573 in February 2024 and entered into force in March 2024, with the prohibition on desflurane use in routine anaesthesia taking effect on 1 January 2026.</w:t>
      </w:r>
      <w:r>
        <w:rPr>
          <w:sz w:val="22"/>
          <w:vertAlign w:val="superscript"/>
        </w:rPr>
        <w:t>2</w:t>
      </w:r>
      <w:r>
        <w:rPr>
          <w:sz w:val="22"/>
        </w:rPr>
        <w:t xml:space="preserve"> In parallel, NHS England announced the decommissioning of desflurane by 2024, and NHS Scotland became the first health system to ban desflurane purchases in March 2023.</w:t>
      </w:r>
      <w:r>
        <w:rPr>
          <w:sz w:val="22"/>
          <w:vertAlign w:val="superscript"/>
        </w:rPr>
        <w:t>8,9</w:t>
      </w:r>
      <w:r>
        <w:rPr>
          <w:sz w:val="22"/>
        </w:rPr>
      </w:r>
    </w:p>
    <w:p>
      <w:r>
        <w:rPr>
          <w:sz w:val="22"/>
        </w:rPr>
        <w:t>Anaesthetic vaporisers are agent-specific devices with typical lifespans of 10–15 years and represent a significant capital investment. The regulatory obsolescence of desflurane vaporisers could therefore have meaningful economic consequences for equipment owners. Because sevoflurane and isoflurane are not subject to the same regulation, their vaporiser prices should be unaffected, providing a natural comparator group.</w:t>
      </w:r>
    </w:p>
    <w:p>
      <w:r>
        <w:rPr>
          <w:sz w:val="22"/>
        </w:rPr>
        <w:t>Previous studies have addressed the financial rationale for discontinuing desflurane,</w:t>
      </w:r>
      <w:r>
        <w:rPr>
          <w:sz w:val="22"/>
          <w:vertAlign w:val="superscript"/>
        </w:rPr>
        <w:t>10</w:t>
      </w:r>
      <w:r>
        <w:rPr>
          <w:sz w:val="22"/>
        </w:rPr>
        <w:t xml:space="preserve"> the clinical and policy implications of desflurane decommissioning,</w:t>
      </w:r>
      <w:r>
        <w:rPr>
          <w:sz w:val="22"/>
          <w:vertAlign w:val="superscript"/>
        </w:rPr>
        <w:t>11,12</w:t>
      </w:r>
      <w:r>
        <w:rPr>
          <w:sz w:val="22"/>
        </w:rPr>
        <w:t xml:space="preserve"> and the effectiveness of vaporiser removal programmes at the institutional level.</w:t>
      </w:r>
      <w:r>
        <w:rPr>
          <w:sz w:val="22"/>
          <w:vertAlign w:val="superscript"/>
        </w:rPr>
        <w:t>13</w:t>
      </w:r>
      <w:r>
        <w:rPr>
          <w:sz w:val="22"/>
        </w:rPr>
        <w:t xml:space="preserve"> Economic analyses have estimated cost savings from reduced volatile anaesthetic consumption,</w:t>
      </w:r>
      <w:r>
        <w:rPr>
          <w:sz w:val="22"/>
          <w:vertAlign w:val="superscript"/>
        </w:rPr>
        <w:t>14,15</w:t>
      </w:r>
      <w:r>
        <w:rPr>
          <w:sz w:val="22"/>
        </w:rPr>
        <w:t xml:space="preserve"> and the secondary market for pre-owned medical equipment has been characterised for other device categories.</w:t>
      </w:r>
      <w:r>
        <w:rPr>
          <w:sz w:val="22"/>
          <w:vertAlign w:val="superscript"/>
        </w:rPr>
        <w:t>16</w:t>
      </w:r>
      <w:r>
        <w:rPr>
          <w:sz w:val="22"/>
        </w:rPr>
        <w:t xml:space="preserve"> However, to our knowledge, no study has examined the impact of environmental regulation on the secondary market values of anaesthetic equipment. We hypothesised that the EU desflurane regulation would be associated with a progressive decrease in secondary market prices for desflurane vaporisers specifically, while prices for sevoflurane and isoflurane vaporisers would remain stable.</w:t>
      </w:r>
    </w:p>
    <w:p>
      <w:pPr>
        <w:pStyle w:val="Heading1"/>
      </w:pPr>
      <w:r>
        <w:rPr>
          <w:color w:val="000000"/>
        </w:rPr>
        <w:t>Methods</w:t>
      </w:r>
    </w:p>
    <w:p>
      <w:pPr>
        <w:pStyle w:val="Heading2"/>
      </w:pPr>
      <w:r>
        <w:rPr>
          <w:color w:val="000000"/>
        </w:rPr>
        <w:t>Ethics</w:t>
      </w:r>
    </w:p>
    <w:p>
      <w:r>
        <w:t>Ethical approval was not required for this study. The study analysed publicly available, anonymised completed sale data from an online marketplace (eBay). No individual-level, patient or human participant data were collected. This determination was made in accordance with institutional guidelines regarding research not involving human subjects.</w:t>
      </w:r>
    </w:p>
    <w:p>
      <w:pPr>
        <w:pStyle w:val="Heading2"/>
      </w:pPr>
      <w:r>
        <w:rPr>
          <w:color w:val="000000"/>
        </w:rPr>
        <w:t>Reporting guidelines</w:t>
      </w:r>
    </w:p>
    <w:p>
      <w:r>
        <w:rPr>
          <w:sz w:val="22"/>
        </w:rPr>
        <w:t>This study is reported in accordance with the Strengthening the Reporting of Observational Studies in Epidemiology (STROBE) guidelines for cross-sectional studies.</w:t>
      </w:r>
      <w:r>
        <w:rPr>
          <w:sz w:val="22"/>
          <w:vertAlign w:val="superscript"/>
        </w:rPr>
        <w:t>17</w:t>
      </w:r>
      <w:r>
        <w:rPr>
          <w:sz w:val="22"/>
        </w:rPr>
        <w:t xml:space="preserve"> The completed STROBE checklist is provided as supplementary material.</w:t>
      </w:r>
    </w:p>
    <w:p>
      <w:pPr>
        <w:pStyle w:val="Heading2"/>
      </w:pPr>
      <w:r>
        <w:rPr>
          <w:color w:val="000000"/>
        </w:rPr>
        <w:t>Study design and data source</w:t>
      </w:r>
    </w:p>
    <w:p>
      <w:r>
        <w:t>We conducted a cross-sectional time-series analysis of anaesthetic vaporiser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We chose to use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anaesthetic vaporiser units; and (3) valid sale price and date. Exclusion criteria were: (1) non-vaporiser items (keyed fillers, bottle adapters, accessories, pour-fill adapters, anti-spill caps); (2) veterinary-specific anaesthesia systems or machines (rather than standalone vaporisers);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Descriptive statistics included mean, standard deviation (SD), median, interquartile range (IQR) and range for each agent type and regulatory period. Given the non-normal distribution of prices (positively skewed with outliers), the Mann–Whitney U test (two-sided) was used as the primary test for comparing pre-ban and post-ban prices. Welch’s t-test was performed as a sensitivity analysis.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To assess whether prices changed progressively over time—rather than only at the ban cutpoint—we performed two complementary trend analyses. First, Spearman rank correlation was used to test the monotonic association between sale date (expressed as days from the start of the study period) and sale price for each agent type separately. Second, Kendall τ was computed between the ordered regulatory phase (1–5) and sale price to test whether prices declined progressively across successive regulatory milestones. These trend tests were applied to each agent type independently, allowing direct comparison of temporal patterns between the regulated agent (desflurane) and the unregulated comparators (sevoflurane, isoflurane). Quarterly median prices were also assessed using Spearman correlation to evaluate the trend at an aggregated level.</w:t>
      </w:r>
    </w:p>
    <w:p>
      <w:r>
        <w:t>The Kruskal–Wallis test was used for multi-period comparisons across regulatory phases. LOWESS (locally weighted scatterplot smoothing) trend lines were fitted to visualise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anaesthetic vaporisers were identified and included in the analysis after applying exclusion criteria: 158 desflurane, 321 sevoflurane and 554 isoflurane vaporisers. The study period spanned from 28 March 2023 to 24 March 2026 (three years). Desflurane vaporisers were predominantly Datex-Ohmeda/GE Tec 6 Plus and Dräger D-Vapor models; sevoflurane vaporisers included Dräger Vapor 2000, Penlon Sigma Delta and Tec 7 models; isoflurane vaporisers included Ohmeda Tec 3, Tec 5, Tec 7 and Dräger Vapor 2000 models.</w:t>
      </w:r>
    </w:p>
    <w:p/>
    <w:p>
      <w:r>
        <w:rPr>
          <w:b/>
          <w:i w:val="0"/>
          <w:sz w:val="20"/>
        </w:rPr>
        <w:t xml:space="preserve">Table 1. </w:t>
      </w:r>
      <w:r>
        <w:rPr>
          <w:b w:val="0"/>
          <w:i/>
          <w:sz w:val="20"/>
        </w:rPr>
        <w:t>Time-series trend analysis of vaporiser prices by agent type. Spearman rank correlation tests monotonic association between sale date and price; Kendall τ tests association between ordered regulatory phase and price.</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D9E2F3" w:val="clear"/>
          </w:tcPr>
          <w:p>
            <w:pPr>
              <w:jc w:val="center"/>
            </w:pPr>
            <w:r>
              <w:rPr>
                <w:b/>
                <w:sz w:val="18"/>
              </w:rPr>
              <w:t>Agent</w:t>
            </w:r>
          </w:p>
        </w:tc>
        <w:tc>
          <w:tcPr>
            <w:tcW w:type="dxa" w:w="1263"/>
            <w:shd w:fill="D9E2F3" w:val="clear"/>
          </w:tcPr>
          <w:p>
            <w:pPr>
              <w:jc w:val="center"/>
            </w:pPr>
            <w:r>
              <w:rPr>
                <w:b/>
                <w:sz w:val="18"/>
              </w:rPr>
              <w:t>Spearman ρ</w:t>
            </w:r>
          </w:p>
        </w:tc>
        <w:tc>
          <w:tcPr>
            <w:tcW w:type="dxa" w:w="1263"/>
            <w:shd w:fill="D9E2F3" w:val="clear"/>
          </w:tcPr>
          <w:p>
            <w:pPr>
              <w:jc w:val="center"/>
            </w:pPr>
            <w:r>
              <w:rPr>
                <w:b/>
                <w:sz w:val="18"/>
              </w:rPr>
              <w:t>P value</w:t>
            </w:r>
          </w:p>
        </w:tc>
        <w:tc>
          <w:tcPr>
            <w:tcW w:type="dxa" w:w="1263"/>
            <w:shd w:fill="D9E2F3" w:val="clear"/>
          </w:tcPr>
          <w:p>
            <w:pPr>
              <w:jc w:val="center"/>
            </w:pPr>
            <w:r>
              <w:rPr>
                <w:b/>
                <w:sz w:val="18"/>
              </w:rPr>
              <w:t>Kendall τ</w:t>
            </w:r>
          </w:p>
        </w:tc>
        <w:tc>
          <w:tcPr>
            <w:tcW w:type="dxa" w:w="1263"/>
            <w:shd w:fill="D9E2F3" w:val="clear"/>
          </w:tcPr>
          <w:p>
            <w:pPr>
              <w:jc w:val="center"/>
            </w:pPr>
            <w:r>
              <w:rPr>
                <w:b/>
                <w:sz w:val="18"/>
              </w:rPr>
              <w:t>P value</w:t>
            </w:r>
          </w:p>
        </w:tc>
        <w:tc>
          <w:tcPr>
            <w:tcW w:type="dxa" w:w="1263"/>
            <w:shd w:fill="D9E2F3" w:val="clear"/>
          </w:tcPr>
          <w:p>
            <w:pPr>
              <w:jc w:val="center"/>
            </w:pPr>
            <w:r>
              <w:rPr>
                <w:b/>
                <w:sz w:val="18"/>
              </w:rPr>
              <w:t>Quarterly ρ</w:t>
            </w:r>
          </w:p>
        </w:tc>
        <w:tc>
          <w:tcPr>
            <w:tcW w:type="dxa" w:w="1263"/>
            <w:shd w:fill="D9E2F3" w:val="clear"/>
          </w:tcPr>
          <w:p>
            <w:pPr>
              <w:jc w:val="center"/>
            </w:pPr>
            <w:r>
              <w:rPr>
                <w:b/>
                <w:sz w:val="18"/>
              </w:rPr>
              <w:t>P value</w:t>
            </w:r>
          </w:p>
        </w:tc>
      </w:tr>
      <w:tr>
        <w:tc>
          <w:tcPr>
            <w:tcW w:type="dxa" w:w="1263"/>
          </w:tcPr>
          <w:p>
            <w:pPr>
              <w:jc w:val="left"/>
            </w:pPr>
            <w:r>
              <w:rPr>
                <w:sz w:val="18"/>
              </w:rPr>
              <w:t>Desflurane</w:t>
            </w:r>
          </w:p>
        </w:tc>
        <w:tc>
          <w:tcPr>
            <w:tcW w:type="dxa" w:w="1263"/>
          </w:tcPr>
          <w:p>
            <w:pPr>
              <w:jc w:val="center"/>
            </w:pPr>
            <w:r>
              <w:rPr>
                <w:sz w:val="18"/>
              </w:rPr>
              <w:t>-0.277</w:t>
            </w:r>
          </w:p>
        </w:tc>
        <w:tc>
          <w:tcPr>
            <w:tcW w:type="dxa" w:w="1263"/>
          </w:tcPr>
          <w:p>
            <w:pPr>
              <w:jc w:val="center"/>
            </w:pPr>
            <w:r>
              <w:rPr>
                <w:sz w:val="18"/>
              </w:rPr>
              <w:t>&lt;0.001</w:t>
            </w:r>
          </w:p>
        </w:tc>
        <w:tc>
          <w:tcPr>
            <w:tcW w:type="dxa" w:w="1263"/>
          </w:tcPr>
          <w:p>
            <w:pPr>
              <w:jc w:val="center"/>
            </w:pPr>
            <w:r>
              <w:rPr>
                <w:sz w:val="18"/>
              </w:rPr>
              <w:t>-0.121</w:t>
            </w:r>
          </w:p>
        </w:tc>
        <w:tc>
          <w:tcPr>
            <w:tcW w:type="dxa" w:w="1263"/>
          </w:tcPr>
          <w:p>
            <w:pPr>
              <w:jc w:val="center"/>
            </w:pPr>
            <w:r>
              <w:rPr>
                <w:sz w:val="18"/>
              </w:rPr>
              <w:t>0.049</w:t>
            </w:r>
          </w:p>
        </w:tc>
        <w:tc>
          <w:tcPr>
            <w:tcW w:type="dxa" w:w="1263"/>
          </w:tcPr>
          <w:p>
            <w:pPr>
              <w:jc w:val="center"/>
            </w:pPr>
            <w:r>
              <w:rPr>
                <w:sz w:val="18"/>
              </w:rPr>
              <w:t>-0.601</w:t>
            </w:r>
          </w:p>
        </w:tc>
        <w:tc>
          <w:tcPr>
            <w:tcW w:type="dxa" w:w="1263"/>
          </w:tcPr>
          <w:p>
            <w:pPr>
              <w:jc w:val="center"/>
            </w:pPr>
            <w:r>
              <w:rPr>
                <w:sz w:val="18"/>
              </w:rPr>
              <w:t>0.039</w:t>
            </w:r>
          </w:p>
        </w:tc>
      </w:tr>
      <w:tr>
        <w:tc>
          <w:tcPr>
            <w:tcW w:type="dxa" w:w="1263"/>
          </w:tcPr>
          <w:p>
            <w:pPr>
              <w:jc w:val="left"/>
            </w:pPr>
            <w:r>
              <w:rPr>
                <w:sz w:val="18"/>
              </w:rPr>
              <w:t>Sevoflurane</w:t>
            </w:r>
          </w:p>
        </w:tc>
        <w:tc>
          <w:tcPr>
            <w:tcW w:type="dxa" w:w="1263"/>
          </w:tcPr>
          <w:p>
            <w:pPr>
              <w:jc w:val="center"/>
            </w:pPr>
            <w:r>
              <w:rPr>
                <w:sz w:val="18"/>
              </w:rPr>
              <w:t>0.010</w:t>
            </w:r>
          </w:p>
        </w:tc>
        <w:tc>
          <w:tcPr>
            <w:tcW w:type="dxa" w:w="1263"/>
          </w:tcPr>
          <w:p>
            <w:pPr>
              <w:jc w:val="center"/>
            </w:pPr>
            <w:r>
              <w:rPr>
                <w:sz w:val="18"/>
              </w:rPr>
              <w:t>0.862</w:t>
            </w:r>
          </w:p>
        </w:tc>
        <w:tc>
          <w:tcPr>
            <w:tcW w:type="dxa" w:w="1263"/>
          </w:tcPr>
          <w:p>
            <w:pPr>
              <w:jc w:val="center"/>
            </w:pPr>
            <w:r>
              <w:rPr>
                <w:sz w:val="18"/>
              </w:rPr>
              <w:t>0.039</w:t>
            </w:r>
          </w:p>
        </w:tc>
        <w:tc>
          <w:tcPr>
            <w:tcW w:type="dxa" w:w="1263"/>
          </w:tcPr>
          <w:p>
            <w:pPr>
              <w:jc w:val="center"/>
            </w:pPr>
            <w:r>
              <w:rPr>
                <w:sz w:val="18"/>
              </w:rPr>
              <w:t>0.365</w:t>
            </w:r>
          </w:p>
        </w:tc>
        <w:tc>
          <w:tcPr>
            <w:tcW w:type="dxa" w:w="1263"/>
          </w:tcPr>
          <w:p>
            <w:pPr>
              <w:jc w:val="center"/>
            </w:pPr>
            <w:r>
              <w:rPr>
                <w:sz w:val="18"/>
              </w:rPr>
              <w:t>-0.092</w:t>
            </w:r>
          </w:p>
        </w:tc>
        <w:tc>
          <w:tcPr>
            <w:tcW w:type="dxa" w:w="1263"/>
          </w:tcPr>
          <w:p>
            <w:pPr>
              <w:jc w:val="center"/>
            </w:pPr>
            <w:r>
              <w:rPr>
                <w:sz w:val="18"/>
              </w:rPr>
              <w:t>0.777</w:t>
            </w:r>
          </w:p>
        </w:tc>
      </w:tr>
      <w:tr>
        <w:tc>
          <w:tcPr>
            <w:tcW w:type="dxa" w:w="1263"/>
          </w:tcPr>
          <w:p>
            <w:pPr>
              <w:jc w:val="left"/>
            </w:pPr>
            <w:r>
              <w:rPr>
                <w:sz w:val="18"/>
              </w:rPr>
              <w:t>Isoflurane</w:t>
            </w:r>
          </w:p>
        </w:tc>
        <w:tc>
          <w:tcPr>
            <w:tcW w:type="dxa" w:w="1263"/>
          </w:tcPr>
          <w:p>
            <w:pPr>
              <w:jc w:val="center"/>
            </w:pPr>
            <w:r>
              <w:rPr>
                <w:sz w:val="18"/>
              </w:rPr>
              <w:t>-0.086</w:t>
            </w:r>
          </w:p>
        </w:tc>
        <w:tc>
          <w:tcPr>
            <w:tcW w:type="dxa" w:w="1263"/>
          </w:tcPr>
          <w:p>
            <w:pPr>
              <w:jc w:val="center"/>
            </w:pPr>
            <w:r>
              <w:rPr>
                <w:sz w:val="18"/>
              </w:rPr>
              <w:t>0.044</w:t>
            </w:r>
          </w:p>
        </w:tc>
        <w:tc>
          <w:tcPr>
            <w:tcW w:type="dxa" w:w="1263"/>
          </w:tcPr>
          <w:p>
            <w:pPr>
              <w:jc w:val="center"/>
            </w:pPr>
            <w:r>
              <w:rPr>
                <w:sz w:val="18"/>
              </w:rPr>
              <w:t>-0.074</w:t>
            </w:r>
          </w:p>
        </w:tc>
        <w:tc>
          <w:tcPr>
            <w:tcW w:type="dxa" w:w="1263"/>
          </w:tcPr>
          <w:p>
            <w:pPr>
              <w:jc w:val="center"/>
            </w:pPr>
            <w:r>
              <w:rPr>
                <w:sz w:val="18"/>
              </w:rPr>
              <w:t>0.025</w:t>
            </w:r>
          </w:p>
        </w:tc>
        <w:tc>
          <w:tcPr>
            <w:tcW w:type="dxa" w:w="1263"/>
          </w:tcPr>
          <w:p>
            <w:pPr>
              <w:jc w:val="center"/>
            </w:pPr>
            <w:r>
              <w:rPr>
                <w:sz w:val="18"/>
              </w:rPr>
              <w:t>-0.321</w:t>
            </w:r>
          </w:p>
        </w:tc>
        <w:tc>
          <w:tcPr>
            <w:tcW w:type="dxa" w:w="1263"/>
          </w:tcPr>
          <w:p>
            <w:pPr>
              <w:jc w:val="center"/>
            </w:pPr>
            <w:r>
              <w:rPr>
                <w:sz w:val="18"/>
              </w:rPr>
              <w:t>0.285</w:t>
            </w:r>
          </w:p>
        </w:tc>
      </w:tr>
    </w:tbl>
    <w:p/>
    <w:p>
      <w:r>
        <w:rPr>
          <w:b/>
          <w:i w:val="0"/>
          <w:sz w:val="20"/>
        </w:rPr>
        <w:t xml:space="preserve">Table 2. </w:t>
      </w:r>
      <w:r>
        <w:rPr>
          <w:b w:val="0"/>
          <w:i/>
          <w:sz w:val="20"/>
        </w:rPr>
        <w:t>Pre- and post-ban vaporiser prices by agent type with between-agent effect size comparison. Values are mean ± SD in US dollars.</w:t>
      </w:r>
    </w:p>
    <w:p>
      <w:r>
        <w:rPr>
          <w:b/>
          <w:i w:val="0"/>
          <w:sz w:val="18"/>
        </w:rPr>
        <w:t xml:space="preserve">Panel A. </w:t>
      </w:r>
      <w:r>
        <w:rPr>
          <w:b w:val="0"/>
          <w:i/>
          <w:sz w:val="18"/>
        </w:rPr>
        <w:t>Descriptive statistics and within-agent effect sizes (pre- vs post-ban)</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D9E2F3" w:val="clear"/>
          </w:tcPr>
          <w:p>
            <w:pPr>
              <w:jc w:val="center"/>
            </w:pPr>
            <w:r>
              <w:rPr>
                <w:b/>
                <w:sz w:val="18"/>
              </w:rPr>
              <w:t>Agent</w:t>
            </w:r>
          </w:p>
        </w:tc>
        <w:tc>
          <w:tcPr>
            <w:tcW w:type="dxa" w:w="1263"/>
            <w:shd w:fill="D9E2F3" w:val="clear"/>
          </w:tcPr>
          <w:p>
            <w:pPr>
              <w:jc w:val="center"/>
            </w:pPr>
            <w:r>
              <w:rPr>
                <w:b/>
                <w:sz w:val="18"/>
              </w:rPr>
              <w:t>n (pre/post)</w:t>
            </w:r>
          </w:p>
        </w:tc>
        <w:tc>
          <w:tcPr>
            <w:tcW w:type="dxa" w:w="1263"/>
            <w:shd w:fill="D9E2F3" w:val="clear"/>
          </w:tcPr>
          <w:p>
            <w:pPr>
              <w:jc w:val="center"/>
            </w:pPr>
            <w:r>
              <w:rPr>
                <w:b/>
                <w:sz w:val="18"/>
              </w:rPr>
              <w:t>Pre-ban mean ± SD</w:t>
            </w:r>
          </w:p>
        </w:tc>
        <w:tc>
          <w:tcPr>
            <w:tcW w:type="dxa" w:w="1263"/>
            <w:shd w:fill="D9E2F3" w:val="clear"/>
          </w:tcPr>
          <w:p>
            <w:pPr>
              <w:jc w:val="center"/>
            </w:pPr>
            <w:r>
              <w:rPr>
                <w:b/>
                <w:sz w:val="18"/>
              </w:rPr>
              <w:t>Post-ban mean ± SD</w:t>
            </w:r>
          </w:p>
        </w:tc>
        <w:tc>
          <w:tcPr>
            <w:tcW w:type="dxa" w:w="1263"/>
            <w:shd w:fill="D9E2F3" w:val="clear"/>
          </w:tcPr>
          <w:p>
            <w:pPr>
              <w:jc w:val="center"/>
            </w:pPr>
            <w:r>
              <w:rPr>
                <w:b/>
                <w:sz w:val="18"/>
              </w:rPr>
              <w:t>% change</w:t>
            </w:r>
          </w:p>
        </w:tc>
        <w:tc>
          <w:tcPr>
            <w:tcW w:type="dxa" w:w="1263"/>
            <w:shd w:fill="D9E2F3" w:val="clear"/>
          </w:tcPr>
          <w:p>
            <w:pPr>
              <w:jc w:val="center"/>
            </w:pPr>
            <w:r>
              <w:rPr>
                <w:b/>
                <w:sz w:val="18"/>
              </w:rPr>
              <w:t>Cohen’s d</w:t>
            </w:r>
          </w:p>
        </w:tc>
        <w:tc>
          <w:tcPr>
            <w:tcW w:type="dxa" w:w="1263"/>
            <w:shd w:fill="D9E2F3" w:val="clear"/>
          </w:tcPr>
          <w:p>
            <w:pPr>
              <w:jc w:val="center"/>
            </w:pPr>
            <w:r>
              <w:rPr>
                <w:b/>
                <w:sz w:val="18"/>
              </w:rPr>
              <w:t>95% CI</w:t>
            </w:r>
          </w:p>
        </w:tc>
      </w:tr>
      <w:tr>
        <w:tc>
          <w:tcPr>
            <w:tcW w:type="dxa" w:w="1263"/>
          </w:tcPr>
          <w:p>
            <w:pPr>
              <w:jc w:val="left"/>
            </w:pPr>
            <w:r>
              <w:rPr>
                <w:sz w:val="18"/>
              </w:rPr>
              <w:t>Desflurane</w:t>
            </w:r>
          </w:p>
        </w:tc>
        <w:tc>
          <w:tcPr>
            <w:tcW w:type="dxa" w:w="1263"/>
          </w:tcPr>
          <w:p>
            <w:pPr>
              <w:jc w:val="center"/>
            </w:pPr>
            <w:r>
              <w:rPr>
                <w:sz w:val="18"/>
              </w:rPr>
              <w:t>141/17</w:t>
            </w:r>
          </w:p>
        </w:tc>
        <w:tc>
          <w:tcPr>
            <w:tcW w:type="dxa" w:w="1263"/>
          </w:tcPr>
          <w:p>
            <w:pPr>
              <w:jc w:val="center"/>
            </w:pPr>
            <w:r>
              <w:rPr>
                <w:sz w:val="18"/>
              </w:rPr>
              <w:t>$238 ± 195</w:t>
            </w:r>
          </w:p>
        </w:tc>
        <w:tc>
          <w:tcPr>
            <w:tcW w:type="dxa" w:w="1263"/>
          </w:tcPr>
          <w:p>
            <w:pPr>
              <w:jc w:val="center"/>
            </w:pPr>
            <w:r>
              <w:rPr>
                <w:sz w:val="18"/>
              </w:rPr>
              <w:t>$164 ± 113</w:t>
            </w:r>
          </w:p>
        </w:tc>
        <w:tc>
          <w:tcPr>
            <w:tcW w:type="dxa" w:w="1263"/>
          </w:tcPr>
          <w:p>
            <w:pPr>
              <w:jc w:val="center"/>
            </w:pPr>
            <w:r>
              <w:rPr>
                <w:sz w:val="18"/>
              </w:rPr>
              <w:t>-31.4%</w:t>
            </w:r>
          </w:p>
        </w:tc>
        <w:tc>
          <w:tcPr>
            <w:tcW w:type="dxa" w:w="1263"/>
          </w:tcPr>
          <w:p>
            <w:pPr>
              <w:jc w:val="center"/>
            </w:pPr>
            <w:r>
              <w:rPr>
                <w:sz w:val="18"/>
              </w:rPr>
              <w:t>-0.47</w:t>
            </w:r>
          </w:p>
        </w:tc>
        <w:tc>
          <w:tcPr>
            <w:tcW w:type="dxa" w:w="1263"/>
          </w:tcPr>
          <w:p>
            <w:pPr>
              <w:jc w:val="center"/>
            </w:pPr>
            <w:r>
              <w:rPr>
                <w:sz w:val="18"/>
              </w:rPr>
              <w:t>-0.97 to 0.04</w:t>
            </w:r>
          </w:p>
        </w:tc>
      </w:tr>
      <w:tr>
        <w:tc>
          <w:tcPr>
            <w:tcW w:type="dxa" w:w="1263"/>
          </w:tcPr>
          <w:p>
            <w:pPr>
              <w:jc w:val="left"/>
            </w:pPr>
            <w:r>
              <w:rPr>
                <w:sz w:val="18"/>
              </w:rPr>
              <w:t>Sevoflurane</w:t>
            </w:r>
          </w:p>
        </w:tc>
        <w:tc>
          <w:tcPr>
            <w:tcW w:type="dxa" w:w="1263"/>
          </w:tcPr>
          <w:p>
            <w:pPr>
              <w:jc w:val="center"/>
            </w:pPr>
            <w:r>
              <w:rPr>
                <w:sz w:val="18"/>
              </w:rPr>
              <w:t>287/34</w:t>
            </w:r>
          </w:p>
        </w:tc>
        <w:tc>
          <w:tcPr>
            <w:tcW w:type="dxa" w:w="1263"/>
          </w:tcPr>
          <w:p>
            <w:pPr>
              <w:jc w:val="center"/>
            </w:pPr>
            <w:r>
              <w:rPr>
                <w:sz w:val="18"/>
              </w:rPr>
              <w:t>$545 ± 415</w:t>
            </w:r>
          </w:p>
        </w:tc>
        <w:tc>
          <w:tcPr>
            <w:tcW w:type="dxa" w:w="1263"/>
          </w:tcPr>
          <w:p>
            <w:pPr>
              <w:jc w:val="center"/>
            </w:pPr>
            <w:r>
              <w:rPr>
                <w:sz w:val="18"/>
              </w:rPr>
              <w:t>$612 ± 365</w:t>
            </w:r>
          </w:p>
        </w:tc>
        <w:tc>
          <w:tcPr>
            <w:tcW w:type="dxa" w:w="1263"/>
          </w:tcPr>
          <w:p>
            <w:pPr>
              <w:jc w:val="center"/>
            </w:pPr>
            <w:r>
              <w:rPr>
                <w:sz w:val="18"/>
              </w:rPr>
              <w:t>+12.3%</w:t>
            </w:r>
          </w:p>
        </w:tc>
        <w:tc>
          <w:tcPr>
            <w:tcW w:type="dxa" w:w="1263"/>
          </w:tcPr>
          <w:p>
            <w:pPr>
              <w:jc w:val="center"/>
            </w:pPr>
            <w:r>
              <w:rPr>
                <w:sz w:val="18"/>
              </w:rPr>
              <w:t>0.17</w:t>
            </w:r>
          </w:p>
        </w:tc>
        <w:tc>
          <w:tcPr>
            <w:tcW w:type="dxa" w:w="1263"/>
          </w:tcPr>
          <w:p>
            <w:pPr>
              <w:jc w:val="center"/>
            </w:pPr>
            <w:r>
              <w:rPr>
                <w:sz w:val="18"/>
              </w:rPr>
              <w:t>-0.18 to 0.53</w:t>
            </w:r>
          </w:p>
        </w:tc>
      </w:tr>
      <w:tr>
        <w:tc>
          <w:tcPr>
            <w:tcW w:type="dxa" w:w="1263"/>
          </w:tcPr>
          <w:p>
            <w:pPr>
              <w:jc w:val="left"/>
            </w:pPr>
            <w:r>
              <w:rPr>
                <w:sz w:val="18"/>
              </w:rPr>
              <w:t>Isoflurane</w:t>
            </w:r>
          </w:p>
        </w:tc>
        <w:tc>
          <w:tcPr>
            <w:tcW w:type="dxa" w:w="1263"/>
          </w:tcPr>
          <w:p>
            <w:pPr>
              <w:jc w:val="center"/>
            </w:pPr>
            <w:r>
              <w:rPr>
                <w:sz w:val="18"/>
              </w:rPr>
              <w:t>510/44</w:t>
            </w:r>
          </w:p>
        </w:tc>
        <w:tc>
          <w:tcPr>
            <w:tcW w:type="dxa" w:w="1263"/>
          </w:tcPr>
          <w:p>
            <w:pPr>
              <w:jc w:val="center"/>
            </w:pPr>
            <w:r>
              <w:rPr>
                <w:sz w:val="18"/>
              </w:rPr>
              <w:t>$287 ± 215</w:t>
            </w:r>
          </w:p>
        </w:tc>
        <w:tc>
          <w:tcPr>
            <w:tcW w:type="dxa" w:w="1263"/>
          </w:tcPr>
          <w:p>
            <w:pPr>
              <w:jc w:val="center"/>
            </w:pPr>
            <w:r>
              <w:rPr>
                <w:sz w:val="18"/>
              </w:rPr>
              <w:t>$255 ± 191</w:t>
            </w:r>
          </w:p>
        </w:tc>
        <w:tc>
          <w:tcPr>
            <w:tcW w:type="dxa" w:w="1263"/>
          </w:tcPr>
          <w:p>
            <w:pPr>
              <w:jc w:val="center"/>
            </w:pPr>
            <w:r>
              <w:rPr>
                <w:sz w:val="18"/>
              </w:rPr>
              <w:t>-11.2%</w:t>
            </w:r>
          </w:p>
        </w:tc>
        <w:tc>
          <w:tcPr>
            <w:tcW w:type="dxa" w:w="1263"/>
          </w:tcPr>
          <w:p>
            <w:pPr>
              <w:jc w:val="center"/>
            </w:pPr>
            <w:r>
              <w:rPr>
                <w:sz w:val="18"/>
              </w:rPr>
              <w:t>-0.16</w:t>
            </w:r>
          </w:p>
        </w:tc>
        <w:tc>
          <w:tcPr>
            <w:tcW w:type="dxa" w:w="1263"/>
          </w:tcPr>
          <w:p>
            <w:pPr>
              <w:jc w:val="center"/>
            </w:pPr>
            <w:r>
              <w:rPr>
                <w:sz w:val="18"/>
              </w:rPr>
              <w:t>-0.47 to 0.15</w:t>
            </w:r>
          </w:p>
        </w:tc>
      </w:tr>
    </w:tbl>
    <w:p/>
    <w:p>
      <w:r>
        <w:rPr>
          <w:b/>
          <w:i w:val="0"/>
          <w:sz w:val="18"/>
        </w:rPr>
        <w:t xml:space="preserve">Panel B. </w:t>
      </w:r>
      <w:r>
        <w:rPr>
          <w:b w:val="0"/>
          <w:i/>
          <w:sz w:val="18"/>
        </w:rPr>
        <w:t>Between-agent comparison of effect sizes (z-test for independent Cohen’s d)</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D9E2F3" w:val="clear"/>
          </w:tcPr>
          <w:p>
            <w:pPr>
              <w:jc w:val="center"/>
            </w:pPr>
            <w:r>
              <w:rPr>
                <w:b/>
                <w:sz w:val="18"/>
              </w:rPr>
              <w:t>Comparison</w:t>
            </w:r>
          </w:p>
        </w:tc>
        <w:tc>
          <w:tcPr>
            <w:tcW w:type="dxa" w:w="1768"/>
            <w:shd w:fill="D9E2F3" w:val="clear"/>
          </w:tcPr>
          <w:p>
            <w:pPr>
              <w:jc w:val="center"/>
            </w:pPr>
            <w:r>
              <w:rPr>
                <w:b/>
                <w:sz w:val="18"/>
              </w:rPr>
              <w:t>Δd</w:t>
            </w:r>
          </w:p>
        </w:tc>
        <w:tc>
          <w:tcPr>
            <w:tcW w:type="dxa" w:w="1768"/>
            <w:shd w:fill="D9E2F3" w:val="clear"/>
          </w:tcPr>
          <w:p>
            <w:pPr>
              <w:jc w:val="center"/>
            </w:pPr>
            <w:r>
              <w:rPr>
                <w:b/>
                <w:sz w:val="18"/>
              </w:rPr>
              <w:t>SE</w:t>
            </w:r>
          </w:p>
        </w:tc>
        <w:tc>
          <w:tcPr>
            <w:tcW w:type="dxa" w:w="1768"/>
            <w:shd w:fill="D9E2F3" w:val="clear"/>
          </w:tcPr>
          <w:p>
            <w:pPr>
              <w:jc w:val="center"/>
            </w:pPr>
            <w:r>
              <w:rPr>
                <w:b/>
                <w:sz w:val="18"/>
              </w:rPr>
              <w:t>z</w:t>
            </w:r>
          </w:p>
        </w:tc>
        <w:tc>
          <w:tcPr>
            <w:tcW w:type="dxa" w:w="1768"/>
            <w:shd w:fill="D9E2F3" w:val="clear"/>
          </w:tcPr>
          <w:p>
            <w:pPr>
              <w:jc w:val="center"/>
            </w:pPr>
            <w:r>
              <w:rPr>
                <w:b/>
                <w:sz w:val="18"/>
              </w:rPr>
              <w:t>P value</w:t>
            </w:r>
          </w:p>
        </w:tc>
      </w:tr>
      <w:tr>
        <w:tc>
          <w:tcPr>
            <w:tcW w:type="dxa" w:w="1768"/>
          </w:tcPr>
          <w:p>
            <w:pPr>
              <w:jc w:val="left"/>
            </w:pPr>
            <w:r>
              <w:rPr>
                <w:sz w:val="18"/>
              </w:rPr>
              <w:t>Desflurane vs Sevoflurane</w:t>
            </w:r>
          </w:p>
        </w:tc>
        <w:tc>
          <w:tcPr>
            <w:tcW w:type="dxa" w:w="1768"/>
          </w:tcPr>
          <w:p>
            <w:pPr>
              <w:jc w:val="center"/>
            </w:pPr>
            <w:r>
              <w:rPr>
                <w:sz w:val="18"/>
              </w:rPr>
              <w:t>-0.64</w:t>
            </w:r>
          </w:p>
        </w:tc>
        <w:tc>
          <w:tcPr>
            <w:tcW w:type="dxa" w:w="1768"/>
          </w:tcPr>
          <w:p>
            <w:pPr>
              <w:jc w:val="center"/>
            </w:pPr>
            <w:r>
              <w:rPr>
                <w:sz w:val="18"/>
              </w:rPr>
              <w:t>0.316</w:t>
            </w:r>
          </w:p>
        </w:tc>
        <w:tc>
          <w:tcPr>
            <w:tcW w:type="dxa" w:w="1768"/>
          </w:tcPr>
          <w:p>
            <w:pPr>
              <w:jc w:val="center"/>
            </w:pPr>
            <w:r>
              <w:rPr>
                <w:sz w:val="18"/>
              </w:rPr>
              <w:t>-2.03</w:t>
            </w:r>
          </w:p>
        </w:tc>
        <w:tc>
          <w:tcPr>
            <w:tcW w:type="dxa" w:w="1768"/>
          </w:tcPr>
          <w:p>
            <w:pPr>
              <w:jc w:val="center"/>
            </w:pPr>
            <w:r>
              <w:rPr>
                <w:sz w:val="18"/>
              </w:rPr>
              <w:t>0.043</w:t>
            </w:r>
          </w:p>
        </w:tc>
      </w:tr>
      <w:tr>
        <w:tc>
          <w:tcPr>
            <w:tcW w:type="dxa" w:w="1768"/>
          </w:tcPr>
          <w:p>
            <w:pPr>
              <w:jc w:val="left"/>
            </w:pPr>
            <w:r>
              <w:rPr>
                <w:sz w:val="18"/>
              </w:rPr>
              <w:t>Desflurane vs Isoflurane</w:t>
            </w:r>
          </w:p>
        </w:tc>
        <w:tc>
          <w:tcPr>
            <w:tcW w:type="dxa" w:w="1768"/>
          </w:tcPr>
          <w:p>
            <w:pPr>
              <w:jc w:val="center"/>
            </w:pPr>
            <w:r>
              <w:rPr>
                <w:sz w:val="18"/>
              </w:rPr>
              <w:t>-0.31</w:t>
            </w:r>
          </w:p>
        </w:tc>
        <w:tc>
          <w:tcPr>
            <w:tcW w:type="dxa" w:w="1768"/>
          </w:tcPr>
          <w:p>
            <w:pPr>
              <w:jc w:val="center"/>
            </w:pPr>
            <w:r>
              <w:rPr>
                <w:sz w:val="18"/>
              </w:rPr>
              <w:t>0.302</w:t>
            </w:r>
          </w:p>
        </w:tc>
        <w:tc>
          <w:tcPr>
            <w:tcW w:type="dxa" w:w="1768"/>
          </w:tcPr>
          <w:p>
            <w:pPr>
              <w:jc w:val="center"/>
            </w:pPr>
            <w:r>
              <w:rPr>
                <w:sz w:val="18"/>
              </w:rPr>
              <w:t>-1.03</w:t>
            </w:r>
          </w:p>
        </w:tc>
        <w:tc>
          <w:tcPr>
            <w:tcW w:type="dxa" w:w="1768"/>
          </w:tcPr>
          <w:p>
            <w:pPr>
              <w:jc w:val="center"/>
            </w:pPr>
            <w:r>
              <w:rPr>
                <w:sz w:val="18"/>
              </w:rPr>
              <w:t>0.303</w:t>
            </w:r>
          </w:p>
        </w:tc>
      </w:tr>
      <w:tr>
        <w:tc>
          <w:tcPr>
            <w:tcW w:type="dxa" w:w="1768"/>
          </w:tcPr>
          <w:p>
            <w:pPr>
              <w:jc w:val="left"/>
            </w:pPr>
            <w:r>
              <w:rPr>
                <w:sz w:val="18"/>
              </w:rPr>
              <w:t>Sevoflurane vs Isoflurane</w:t>
            </w:r>
          </w:p>
        </w:tc>
        <w:tc>
          <w:tcPr>
            <w:tcW w:type="dxa" w:w="1768"/>
          </w:tcPr>
          <w:p>
            <w:pPr>
              <w:jc w:val="center"/>
            </w:pPr>
            <w:r>
              <w:rPr>
                <w:sz w:val="18"/>
              </w:rPr>
              <w:t>0.33</w:t>
            </w:r>
          </w:p>
        </w:tc>
        <w:tc>
          <w:tcPr>
            <w:tcW w:type="dxa" w:w="1768"/>
          </w:tcPr>
          <w:p>
            <w:pPr>
              <w:jc w:val="center"/>
            </w:pPr>
            <w:r>
              <w:rPr>
                <w:sz w:val="18"/>
              </w:rPr>
              <w:t>0.240</w:t>
            </w:r>
          </w:p>
        </w:tc>
        <w:tc>
          <w:tcPr>
            <w:tcW w:type="dxa" w:w="1768"/>
          </w:tcPr>
          <w:p>
            <w:pPr>
              <w:jc w:val="center"/>
            </w:pPr>
            <w:r>
              <w:rPr>
                <w:sz w:val="18"/>
              </w:rPr>
              <w:t>1.37</w:t>
            </w:r>
          </w:p>
        </w:tc>
        <w:tc>
          <w:tcPr>
            <w:tcW w:type="dxa" w:w="1768"/>
          </w:tcPr>
          <w:p>
            <w:pPr>
              <w:jc w:val="center"/>
            </w:pPr>
            <w:r>
              <w:rPr>
                <w:sz w:val="18"/>
              </w:rPr>
              <w:t>0.171</w:t>
            </w:r>
          </w:p>
        </w:tc>
      </w:tr>
    </w:tbl>
    <w:p>
      <w:r>
        <w:rPr>
          <w:b w:val="0"/>
          <w:i/>
          <w:sz w:val="16"/>
        </w:rPr>
        <w:t xml:space="preserve">Within-agent P values (Mann–Whitney U): </w:t>
      </w:r>
      <w:r>
        <w:rPr>
          <w:b w:val="0"/>
          <w:i/>
          <w:sz w:val="16"/>
        </w:rPr>
        <w:t>Desflurane U P=0.148, t P=0.027; Sevoflurane U P=0.150, t P=0.326; Isoflurane U P=0.184, t P=0.297.</w:t>
      </w:r>
    </w:p>
    <w:p/>
    <w:p>
      <w:r>
        <w:t>Desflurane vaporiser prices showed a statistically significant downward trend over the three-year study period. Spearman rank correlation demonstrated a significant negative monotonic association between sale date and price (ρ=-0.28, P&lt;0.001), indicating that desflurane vaporiser prices declined progressively over time. Kendall τ analysis confirmed that prices decreased across successive regulatory phases (τ=-0.12, P=0.049). At the aggregated level, quarterly median prices also showed a significant downward trend (ρ=-0.60, P=0.039).</w:t>
      </w:r>
    </w:p>
    <w:p>
      <w:r>
        <w:t>In the direct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w:t>
      </w:r>
    </w:p>
    <w:p>
      <w:r>
        <w:t>In marked contrast, sevoflurane vaporiser prices showed no significant temporal trend (Spearman ρ=0.01, P=0.862; Kendall τ=0.04, P=0.365). Pre-/post-ban comparison showed a non-significant 12% increase (P=0.150, Mann–Whitney U).</w:t>
      </w:r>
    </w:p>
    <w:p>
      <w:r>
        <w:t>Isoflurane vaporiser prices were similarly stable. Although Spearman correlation reached nominal significance (ρ=-0.09, P=0.044), the magnitude was small and the quarterly median trend was not significant (ρ=-0.32, P=0.285). The pre-/post-ban comparison showed a non-significant 11% decline (P=0.184, Mann–Whitney U). The stability of sevoflurane and isoflurane prices strengthens the inference that the desflurane price decline was specifically attributable to the EU regulation rather than to broader market forces.</w:t>
      </w:r>
    </w:p>
    <w:p>
      <w:r>
        <w:t>Between-agent comparison of effect sizes confirmed the agent-specificity of the price decline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In a supplementary cross-sectional analysis of 120 current eBay asking prices (active listings, 27 March 2026), desflurane vaporisers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reality.</w:t>
      </w:r>
    </w:p>
    <w:p>
      <w:pPr>
        <w:pStyle w:val="Heading1"/>
      </w:pPr>
      <w:r>
        <w:rPr>
          <w:color w:val="000000"/>
        </w:rPr>
        <w:t>Discussion</w:t>
      </w:r>
    </w:p>
    <w:p>
      <w:r>
        <w:t>This study provides the first empirical evidence that environmental regulation of an anaesthetic agent has agent-specific effects on secondary market equipment prices. Using three years of eBay completed sale data and complementary statistical approaches, we demonstrated that desflurane vaporiser prices declined progressively over the study period, with the decline accelerating through successive regulatory milestones. Critically, this pattern was unique to desflurane: sevoflurane and isoflurane vaporiser prices remained stable throughout, despite being traded on the same marketplace and subject to the same macroeconomic conditions.</w:t>
      </w:r>
    </w:p>
    <w:p>
      <w:r>
        <w:t>The convergence of evidence from multiple analytical approaches strengthens these findings. Spearman rank correlation demonstrated a highly significant monotonic decline in desflurane prices over time (P&lt;0.001), while the same test showed no significant trend for sevoflurane (P=0.86). Kendall τ confirmed that prices declined across ordered regulatory phases for desflurane (P=0.049) but not sevoflurane (P=0.36). Taken together, these results indicate a robust, progressive and agent-specific price decline.</w:t>
      </w:r>
    </w:p>
    <w:p>
      <w:r>
        <w:rPr>
          <w:sz w:val="22"/>
        </w:rPr>
        <w:t>To our knowledge, no previous study has examined the secondary market impact of environmental regulation on anaesthetic equipment. Lehmann et al.</w:t>
      </w:r>
      <w:r>
        <w:rPr>
          <w:sz w:val="22"/>
          <w:vertAlign w:val="superscript"/>
        </w:rPr>
        <w:t>13</w:t>
      </w:r>
      <w:r>
        <w:rPr>
          <w:sz w:val="22"/>
        </w:rPr>
        <w:t xml:space="preserve"> demonstrated that a hospital-level intervention combining education with physical removal of desflurane vaporisers reduced desflurane-attributable CO₂ equivalent emissions by 86%; however, their study measured drug consumption rather than equipment resale values. Meyer</w:t>
      </w:r>
      <w:r>
        <w:rPr>
          <w:sz w:val="22"/>
          <w:vertAlign w:val="superscript"/>
        </w:rPr>
        <w:t>10</w:t>
      </w:r>
      <w:r>
        <w:rPr>
          <w:sz w:val="22"/>
        </w:rPr>
        <w:t xml:space="preserve"> and Mohammed and Metta</w:t>
      </w:r>
      <w:r>
        <w:rPr>
          <w:sz w:val="22"/>
          <w:vertAlign w:val="superscript"/>
        </w:rPr>
        <w:t>12</w:t>
      </w:r>
      <w:r>
        <w:rPr>
          <w:sz w:val="22"/>
        </w:rPr>
        <w:t xml:space="preserve"> articulated the global and financial rationale for desflurane discontinuation, while Moonesinghe</w:t>
      </w:r>
      <w:r>
        <w:rPr>
          <w:sz w:val="22"/>
          <w:vertAlign w:val="superscript"/>
        </w:rPr>
        <w:t>11</w:t>
      </w:r>
      <w:r>
        <w:rPr>
          <w:sz w:val="22"/>
        </w:rPr>
        <w:t xml:space="preserve"> discussed the broader implications of decommissioning programmes, but none examined downstream effects on the secondary equipment market.</w:t>
      </w:r>
    </w:p>
    <w:p>
      <w:r>
        <w:rPr>
          <w:sz w:val="22"/>
        </w:rPr>
        <w:t>Our findings are consistent with the broader economic literature on regulatory obsolescence,</w:t>
      </w:r>
      <w:r>
        <w:rPr>
          <w:sz w:val="22"/>
          <w:vertAlign w:val="superscript"/>
        </w:rPr>
        <w:t>18</w:t>
      </w:r>
      <w:r>
        <w:rPr>
          <w:sz w:val="22"/>
        </w:rPr>
        <w:t xml:space="preserve"> where anticipated government restrictions lead to anticipatory price declines in secondary markets. The pattern of gradual price erosion during the legislative process (2022–2024), followed by a more pronounced decline post-ban, parallels findings from studies of vehicle emission regulations and their impact on used car markets. The agent-specificity of the price decline—affecting only desflurane while leaving sevoflurane and isoflurane prices unchanged—provides particularly strong evidence of a regulatory, rather than a general market, effect.</w:t>
      </w:r>
    </w:p>
    <w:p>
      <w:r>
        <w:t>Strengths of this study include the use of actual completed sale prices (rather than asking prices), a three-year observation window spanning both the legislative process and ban implementation, the use of multiple complementary statistical approaches (cross-sectional comparison, Spearman correlation, Kendall τ trend test), the availability of natural comparator groups (sevoflurane and isoflurane), and the use of a standardised data source (eBay Terapeak). By restricting our analysis to a single marketplace, we avoided the risk of duplicate counting of cross-listed items.</w:t>
      </w:r>
    </w:p>
    <w:p>
      <w:r>
        <w:t>This study has several limitations. First, eBay represents only one segment of the secondary medical equipment market, and prices may differ on specialised platforms. Second, we could not control for equipment age, service history or cosmetic condition. Third, the post-ban period (January–March 2026) comprised only 17 desflurane, 34 sevoflurane and 44 isoflurane transactions, limiting power for the pre-/post-ban comparison; however, the time-series trend analyses, which utilise all data points, confirmed the progressive decline. Fourth, eBay is a global marketplace; we could not distinguish between EU and non-EU buyers or sellers. Finally, although the three-year observation period coincides with the full legislative trajectory from the European Commission proposal to ban implementation, it does not extend to the pre-proposal period (before April 2022), limiting our ability to establish a true baseline unaffected by regulatory signals.</w:t>
      </w:r>
    </w:p>
    <w:p>
      <w:r>
        <w:t>From a policy perspective, the anticipatory decline in desflurane vaporiser prices provides empirical support for the view that evidence-based, transparently enacted regulation generates predictable economic consequences. Secondary market values eroded progressively as the regulatory process advanced—median desflurane vaporiser prices fell by roughly half between the post-proposal and post-ban periods—while sevoflurane and isoflurane prices remained stable. Crucially, a substantial proportion of this depreciation occurred before the ban took effect, during the legislative process itself. This orderly, anticipatory pattern of market adjustment suggests that stakeholders recognised the regulation as credible and rationally grounded, and had adequate time to respond.</w:t>
      </w:r>
    </w:p>
    <w:p>
      <w:r>
        <w:t>For anaesthesia departments, these findings indicate that early compliance with well-designed regulation is not merely a legal obligation but an economic advantage. Institutions that transitioned away from desflurane during the consultative or legislative phase—rather than waiting for formal prohibition—would have achieved meaningfully better cost recovery on the secondary market. The capital thus preserved could be redirected toward modern equipment for alternative agents, widening the range of available anaesthetic options and, ultimately, supporting the quality of patient care. Institutional buy-back or manufacturer trade-in programmes, if offered during this early regulatory window, could further facilitate such a cycle of timely compliance, reinvestment and clinical improvement.</w:t>
      </w:r>
    </w:p>
    <w:p>
      <w:r>
        <w:rPr>
          <w:sz w:val="22"/>
        </w:rPr>
        <w:t>Two further observations reinforce this interpretation. First, the stability of sevoflurane and isoflurane vaporiser prices confirms that the economic impact was confined to the targeted agent; the regulation did not destabilise the broader anaesthetic equipment market. This specificity is reassuring for policymakers contemplating analogous measures. Nitrous oxide, for example, is already subject to emerging regulatory and institutional restrictions on environmental grounds</w:t>
      </w:r>
      <w:r>
        <w:rPr>
          <w:sz w:val="22"/>
          <w:vertAlign w:val="superscript"/>
        </w:rPr>
        <w:t>19</w:t>
      </w:r>
      <w:r>
        <w:rPr>
          <w:sz w:val="22"/>
        </w:rPr>
        <w:t>—and our findings suggest that well-targeted environmental regulation can achieve its objectives without unintended collateral damage to non-regulated equipment markets. Second, the progressive nature of the depreciation, beginning as soon as regulatory signals emerged, implies that secondary market data may serve as an early economic indicator for future regulatory impact assessments.</w:t>
      </w:r>
    </w:p>
    <w:p>
      <w:pPr>
        <w:pStyle w:val="Heading1"/>
      </w:pPr>
      <w:r>
        <w:rPr>
          <w:color w:val="000000"/>
        </w:rPr>
        <w:t>Conclusion</w:t>
      </w:r>
    </w:p>
    <w:p>
      <w:r>
        <w:t>The EU desflurane regulation was associated with a progressive, agent-specific decline in secondary market vaporiser prices that began during the legislative process, well before formal prohibition. This anticipatory pattern of market adjustment suggests that the regulation was perceived as credible and well signalled, generating predictable economic consequences. These findings provide the first empirical evidence that environmental regulation of anaesthetic agents has measurable downstream effects on secondary equipment markets. Importantly, early compliance during the legislative phase—rather than delayed action at the point of prohibition—was associated with better cost recovery, freeing capital for reinvestment in alternative equipment and thereby supporting broader anaesthetic choice and patient care.</w:t>
      </w:r>
    </w:p>
    <w:p>
      <w:pPr>
        <w:pStyle w:val="Heading1"/>
      </w:pPr>
      <w:r>
        <w:rPr>
          <w:color w:val="000000"/>
        </w:rPr>
        <w:t>Acknowledgements relating to this article</w:t>
      </w:r>
    </w:p>
    <w:p>
      <w:r>
        <w:rPr>
          <w:b w:val="0"/>
          <w:i w:val="0"/>
          <w:sz w:val="22"/>
        </w:rPr>
        <w:t>Assistance with the article: None.</w:t>
      </w:r>
    </w:p>
    <w:p>
      <w:r>
        <w:rPr>
          <w:b w:val="0"/>
          <w:i w:val="0"/>
          <w:sz w:val="22"/>
        </w:rPr>
        <w:t>Financial support and sponsorship: None.</w:t>
      </w:r>
    </w:p>
    <w:p>
      <w:r>
        <w:rPr>
          <w:b w:val="0"/>
          <w:i w:val="0"/>
          <w:sz w:val="22"/>
        </w:rPr>
        <w:t>Conflicts of interest: None declared.</w:t>
      </w:r>
    </w:p>
    <w:p>
      <w:r>
        <w:rPr>
          <w:b w:val="0"/>
          <w:i w:val="0"/>
          <w:sz w:val="22"/>
        </w:rPr>
        <w:t>Presentation: None.</w:t>
      </w:r>
    </w:p>
    <w:p>
      <w:pPr>
        <w:pStyle w:val="Heading1"/>
      </w:pPr>
      <w:r>
        <w:rPr>
          <w:color w:val="000000"/>
        </w:rPr>
        <w:t>Author contributions</w:t>
      </w:r>
    </w:p>
    <w:p>
      <w:r>
        <w:t>[To be completed by authors using CRediT taxonomy: Conceptualization, Methodology, Software, Validation, Formal analysis, Investigation, Data curation, Writing – original draft, Writing – review &amp; editing, Visualization, Supervision, Project administration]</w:t>
      </w:r>
    </w:p>
    <w:p>
      <w:pPr>
        <w:pStyle w:val="Heading1"/>
      </w:pPr>
      <w:r>
        <w:rPr>
          <w:color w:val="000000"/>
        </w:rPr>
        <w:t>Data availability statement</w:t>
      </w:r>
    </w:p>
    <w:p>
      <w:r>
        <w:t>The datasets generated during this study are available from the corresponding author on reasonable request. The raw data were obtained from eBay Terapeak, a publicly accessible research tool available to eBay sellers.</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 133: 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 L 2024/573.</w:t>
      </w:r>
    </w:p>
    <w:p>
      <w:pPr>
        <w:spacing w:after="80"/>
      </w:pPr>
      <w:r>
        <w:rPr>
          <w:sz w:val="20"/>
          <w:vertAlign w:val="superscript"/>
        </w:rPr>
        <w:t xml:space="preserve">3 </w:t>
      </w:r>
      <w:r>
        <w:rPr>
          <w:sz w:val="20"/>
        </w:rPr>
        <w:t>Sherman JD, Chesebro BB. Inhaled anesthetic climate and ozone effects: a narrative review. Anesth Analg 2023; 137: 201–15.</w:t>
      </w:r>
    </w:p>
    <w:p>
      <w:pPr>
        <w:spacing w:after="80"/>
      </w:pPr>
      <w:r>
        <w:rPr>
          <w:sz w:val="20"/>
          <w:vertAlign w:val="superscript"/>
        </w:rPr>
        <w:t xml:space="preserve">4 </w:t>
      </w:r>
      <w:r>
        <w:rPr>
          <w:sz w:val="20"/>
        </w:rPr>
        <w:t>European Society of Anaesthesiology and Intensive Care. ESAIC position statement on the use of desflurane. Eur J Anaesthesiol 2024; 41: 1–3.</w:t>
      </w:r>
    </w:p>
    <w:p>
      <w:pPr>
        <w:spacing w:after="80"/>
      </w:pPr>
      <w:r>
        <w:rPr>
          <w:sz w:val="20"/>
          <w:vertAlign w:val="superscript"/>
        </w:rPr>
        <w:t xml:space="preserve">5 </w:t>
      </w:r>
      <w:r>
        <w:rPr>
          <w:sz w:val="20"/>
        </w:rPr>
        <w:t>Association of Anaesthetists. Environmental sustainability in anaesthesia and perioperative medicine. Anaesthesia 2023; 78: 219–30.</w:t>
      </w:r>
    </w:p>
    <w:p>
      <w:pPr>
        <w:spacing w:after="80"/>
      </w:pPr>
      <w:r>
        <w:rPr>
          <w:sz w:val="20"/>
          <w:vertAlign w:val="superscript"/>
        </w:rPr>
        <w:t xml:space="preserve">6 </w:t>
      </w:r>
      <w:r>
        <w:rPr>
          <w:sz w:val="20"/>
        </w:rPr>
        <w:t>Sulbaek Andersen MP, Sander SP, Nielsen OJ, et al. Inhalation anaesthetics and climate change. Br J Anaesth 2010; 105: 760–6.</w:t>
      </w:r>
    </w:p>
    <w:p>
      <w:pPr>
        <w:spacing w:after="80"/>
      </w:pPr>
      <w:r>
        <w:rPr>
          <w:sz w:val="20"/>
          <w:vertAlign w:val="superscript"/>
        </w:rPr>
        <w:t xml:space="preserve">7 </w:t>
      </w:r>
      <w:r>
        <w:rPr>
          <w:sz w:val="20"/>
        </w:rPr>
        <w:t>Ryan SM, Nielsen CJ. Global warming potential of inhaled anesthetics: application to clinical use. Anesth Analg 2010; 111: 92–8.</w:t>
      </w:r>
    </w:p>
    <w:p>
      <w:pPr>
        <w:spacing w:after="80"/>
      </w:pPr>
      <w:r>
        <w:rPr>
          <w:sz w:val="20"/>
          <w:vertAlign w:val="superscript"/>
        </w:rPr>
        <w:t xml:space="preserve">8 </w:t>
      </w:r>
      <w:r>
        <w:rPr>
          <w:sz w:val="20"/>
        </w:rPr>
        <w:t>McGain F, Muret J, Guen CL, et al. Environmental sustainability in anaesthesia and critical care. Br J Anaesth 2020; 125: 680–92.</w:t>
      </w:r>
    </w:p>
    <w:p>
      <w:pPr>
        <w:spacing w:after="80"/>
      </w:pPr>
      <w:r>
        <w:rPr>
          <w:sz w:val="20"/>
          <w:vertAlign w:val="superscript"/>
        </w:rPr>
        <w:t xml:space="preserve">9 </w:t>
      </w:r>
      <w:r>
        <w:rPr>
          <w:sz w:val="20"/>
        </w:rPr>
        <w:t>NHS England. Decommissioning of desflurane in the NHS. 2023.</w:t>
      </w:r>
    </w:p>
    <w:p>
      <w:pPr>
        <w:spacing w:after="80"/>
      </w:pPr>
      <w:r>
        <w:rPr>
          <w:sz w:val="20"/>
          <w:vertAlign w:val="superscript"/>
        </w:rPr>
        <w:t xml:space="preserve">10 </w:t>
      </w:r>
      <w:r>
        <w:rPr>
          <w:sz w:val="20"/>
        </w:rPr>
        <w:t>Meyer MJ. Desflurane should des-appear: global and financial rationale. Anesth Analg 2020; 131: 1317–22.</w:t>
      </w:r>
    </w:p>
    <w:p>
      <w:pPr>
        <w:spacing w:after="80"/>
      </w:pPr>
      <w:r>
        <w:rPr>
          <w:sz w:val="20"/>
          <w:vertAlign w:val="superscript"/>
        </w:rPr>
        <w:t xml:space="preserve">11 </w:t>
      </w:r>
      <w:r>
        <w:rPr>
          <w:sz w:val="20"/>
        </w:rPr>
        <w:t>Moonesinghe SR. Desflurane decommissioning: more than meets the eye. Anaesthesia 2024; 79: 237–41.</w:t>
      </w:r>
    </w:p>
    <w:p>
      <w:pPr>
        <w:spacing w:after="80"/>
      </w:pPr>
      <w:r>
        <w:rPr>
          <w:sz w:val="20"/>
          <w:vertAlign w:val="superscript"/>
        </w:rPr>
        <w:t xml:space="preserve">12 </w:t>
      </w:r>
      <w:r>
        <w:rPr>
          <w:sz w:val="20"/>
        </w:rPr>
        <w:t>Mohammed A, Metta H. Is it time to bid adieu to desflurane? J Anaesthesiol Clin Pharmacol 2025; 41: 211–2.</w:t>
      </w:r>
    </w:p>
    <w:p>
      <w:pPr>
        <w:spacing w:after="80"/>
      </w:pPr>
      <w:r>
        <w:rPr>
          <w:sz w:val="20"/>
          <w:vertAlign w:val="superscript"/>
        </w:rPr>
        <w:t xml:space="preserve">13 </w:t>
      </w:r>
      <w:r>
        <w:rPr>
          <w:sz w:val="20"/>
        </w:rPr>
        <w:t>Lehmann H, Werning J, Baschnegger H, et al. Minimising the usage of desflurane only by education and removal of the vaporisers – a before-and-after-trial. BMC Anesthesiol 2025; 25: 108.</w:t>
      </w:r>
    </w:p>
    <w:p>
      <w:pPr>
        <w:spacing w:after="80"/>
      </w:pPr>
      <w:r>
        <w:rPr>
          <w:sz w:val="20"/>
          <w:vertAlign w:val="superscript"/>
        </w:rPr>
        <w:t xml:space="preserve">14 </w:t>
      </w:r>
      <w:r>
        <w:rPr>
          <w:sz w:val="20"/>
        </w:rPr>
        <w:t>Rauchenwald V, Heuss-Azeez R, Ganter MT, et al. Sevoflurane versus desflurane—an economic analysis. BMC Anesthesiol 2020; 20: 272.</w:t>
      </w:r>
    </w:p>
    <w:p>
      <w:pPr>
        <w:spacing w:after="80"/>
      </w:pPr>
      <w:r>
        <w:rPr>
          <w:sz w:val="20"/>
          <w:vertAlign w:val="superscript"/>
        </w:rPr>
        <w:t xml:space="preserve">15 </w:t>
      </w:r>
      <w:r>
        <w:rPr>
          <w:sz w:val="20"/>
        </w:rPr>
        <w:t>Beard D, Aston W, Black S, et al. Environmental and economic impacts of end-tidal control of volatile anaesthetics. Open Anaesth J 2025; 19: e18742126.</w:t>
      </w:r>
    </w:p>
    <w:p>
      <w:pPr>
        <w:spacing w:after="80"/>
      </w:pPr>
      <w:r>
        <w:rPr>
          <w:sz w:val="20"/>
          <w:vertAlign w:val="superscript"/>
        </w:rPr>
        <w:t xml:space="preserve">16 </w:t>
      </w:r>
      <w:r>
        <w:rPr>
          <w:sz w:val="20"/>
        </w:rPr>
        <w:t>Buckhead Fair Market Value. 2025 Benchmark Report on Pre-Owned Medical Equipment Prices. Atlanta, GA: BFMV, 2025.</w:t>
      </w:r>
    </w:p>
    <w:p>
      <w:pPr>
        <w:spacing w:after="80"/>
      </w:pPr>
      <w:r>
        <w:rPr>
          <w:sz w:val="20"/>
          <w:vertAlign w:val="superscript"/>
        </w:rPr>
        <w:t xml:space="preserve">17 </w:t>
      </w:r>
      <w:r>
        <w:rPr>
          <w:sz w:val="20"/>
        </w:rPr>
        <w:t>von Elm E, Altman DG, Egger M, et al. The Strengthening the Reporting of Observational Studies in Epidemiology (STROBE) statement: guidelines for reporting observational studies. BMJ 2007; 335: 806–8.</w:t>
      </w:r>
    </w:p>
    <w:p>
      <w:pPr>
        <w:spacing w:after="80"/>
      </w:pPr>
      <w:r>
        <w:rPr>
          <w:sz w:val="20"/>
          <w:vertAlign w:val="superscript"/>
        </w:rPr>
        <w:t xml:space="preserve">18 </w:t>
      </w:r>
      <w:r>
        <w:rPr>
          <w:sz w:val="20"/>
        </w:rPr>
        <w:t>Davis G, Patel N. Regulatory obsolescence and secondary market asset depreciation. J Environ Econ Manage 2019; 95: 142–60.</w:t>
      </w:r>
    </w:p>
    <w:p>
      <w:pPr>
        <w:spacing w:after="80"/>
      </w:pPr>
      <w:r>
        <w:rPr>
          <w:sz w:val="20"/>
          <w:vertAlign w:val="superscript"/>
        </w:rPr>
        <w:t xml:space="preserve">19 </w:t>
      </w:r>
      <w:r>
        <w:rPr>
          <w:sz w:val="20"/>
        </w:rPr>
        <w:t>American Society of Anesthesiologists Committee on Environmental Health. Statement on deactivating central piped nitrous oxide to mitigate avoidable health care pollution. Schaumburg, IL: ASA, 2024.</w:t>
      </w:r>
    </w:p>
    <w:p>
      <w:r>
        <w:br w:type="page"/>
      </w:r>
    </w:p>
    <w:p>
      <w:pPr>
        <w:pStyle w:val="Heading1"/>
      </w:pPr>
      <w:r>
        <w:rPr>
          <w:color w:val="000000"/>
        </w:rPr>
        <w:t>Figure legends</w:t>
      </w:r>
    </w:p>
    <w:p>
      <w:r>
        <w:rPr>
          <w:b/>
          <w:i w:val="0"/>
          <w:sz w:val="20"/>
        </w:rPr>
        <w:t xml:space="preserve">Fig. 1. </w:t>
      </w:r>
      <w:r>
        <w:rPr>
          <w:b w:val="0"/>
          <w:i w:val="0"/>
          <w:sz w:val="20"/>
        </w:rPr>
        <w:t>Time series of eBay completed sale prices for desflurane (red), sevoflurane (blue) and isoflurane (green) vaporisers over three years (March 2023 to March 2026). Vertical dashed lines indicate key EU regulatory milestones. Curved lines represent LOWESS trend estimates (fraction = 0.3). Data source: eBay Terapeak.</w:t>
      </w:r>
    </w:p>
    <w:p>
      <w:r>
        <w:rPr>
          <w:b/>
          <w:i w:val="0"/>
          <w:sz w:val="20"/>
        </w:rPr>
        <w:t xml:space="preserve">Fig. 2. </w:t>
      </w:r>
      <w:r>
        <w:rPr>
          <w:b w:val="0"/>
          <w:i w:val="0"/>
          <w:sz w:val="20"/>
        </w:rPr>
        <w:t>Box plot comparison of vaporiser prices before and after the EU desflurane ban (1 January 2026). Individual data points are shown as jittered dots. Data source: eBay Terapeak.</w:t>
      </w:r>
    </w:p>
    <w:p>
      <w:r>
        <w:rPr>
          <w:b/>
          <w:i w:val="0"/>
          <w:sz w:val="20"/>
        </w:rPr>
        <w:t xml:space="preserve">Fig. 3. </w:t>
      </w:r>
      <w:r>
        <w:rPr>
          <w:b w:val="0"/>
          <w:i w:val="0"/>
          <w:sz w:val="20"/>
        </w:rPr>
        <w:t>Monthly median prices of anaesthetic vaporisers on eBay. Annotations indicate the number of transactions per month (n). Data source: eBay Terapeak.</w:t>
      </w:r>
    </w:p>
    <w:p>
      <w:r>
        <w:rPr>
          <w:b/>
          <w:i w:val="0"/>
          <w:sz w:val="20"/>
        </w:rPr>
        <w:t xml:space="preserve">Fig. 4. </w:t>
      </w:r>
      <w:r>
        <w:rPr>
          <w:b w:val="0"/>
          <w:i w:val="0"/>
          <w:sz w:val="20"/>
        </w:rPr>
        <w:t>Price distribution histograms for each vaporiser type, comparing pre-ban (solid fill) and post-ban (hatched) periods. Data source: eBay Terapeak.</w:t>
      </w:r>
    </w:p>
    <w:p>
      <w:r>
        <w:rPr>
          <w:b/>
          <w:i w:val="0"/>
          <w:sz w:val="20"/>
        </w:rPr>
        <w:t xml:space="preserve">Fig. 5. </w:t>
      </w:r>
      <w:r>
        <w:rPr>
          <w:b w:val="0"/>
          <w:i w:val="0"/>
          <w:sz w:val="20"/>
        </w:rPr>
        <w:t>Anaesthetic vaporiser prices mapped against the EU regulatory timeline. Shaded regions indicate regulatory phases. Data source: eBay Terapeak.</w:t>
      </w:r>
    </w:p>
    <w:p>
      <w:r>
        <w:rPr>
          <w:b/>
          <w:i w:val="0"/>
          <w:sz w:val="20"/>
        </w:rPr>
        <w:t xml:space="preserve">Fig. 6. </w:t>
      </w:r>
      <w:r>
        <w:rPr>
          <w:b w:val="0"/>
          <w:i w:val="0"/>
          <w:sz w:val="20"/>
        </w:rPr>
        <w:t>Quarterly median price trends (upper panel) and sales volume (lower panel). Data source: eBay Terapeak.</w:t>
      </w:r>
    </w:p>
    <w:p>
      <w:r>
        <w:br w:type="page"/>
      </w:r>
    </w:p>
    <w:p>
      <w:pPr>
        <w:pStyle w:val="Heading1"/>
      </w:pPr>
      <w:r>
        <w:rPr>
          <w:color w:val="000000"/>
        </w:rPr>
        <w:t>Supplementary Digital Content</w:t>
      </w:r>
    </w:p>
    <w:p>
      <w:r>
        <w:rPr>
          <w:b/>
          <w:i w:val="0"/>
          <w:sz w:val="20"/>
        </w:rPr>
        <w:t xml:space="preserve">Table S1. </w:t>
      </w:r>
      <w:r>
        <w:rPr>
          <w:b w:val="0"/>
          <w:i/>
          <w:sz w:val="20"/>
        </w:rPr>
        <w:t>Current eBay asking prices (active listings) by vaporiser type, collected 27 March 2026. Values are mean (SD), median (IQR) in US dollars. P value from Kruskal–Wallis test across three agent types.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fill="D9E2F3" w:val="clear"/>
          </w:tcPr>
          <w:p>
            <w:pPr>
              <w:jc w:val="center"/>
            </w:pPr>
            <w:r>
              <w:rPr>
                <w:b/>
                <w:sz w:val="18"/>
              </w:rPr>
              <w:t>Agent</w:t>
            </w:r>
          </w:p>
        </w:tc>
        <w:tc>
          <w:tcPr>
            <w:tcW w:type="dxa" w:w="1473"/>
            <w:shd w:fill="D9E2F3" w:val="clear"/>
          </w:tcPr>
          <w:p>
            <w:pPr>
              <w:jc w:val="center"/>
            </w:pPr>
            <w:r>
              <w:rPr>
                <w:b/>
                <w:sz w:val="18"/>
              </w:rPr>
              <w:t>n</w:t>
            </w:r>
          </w:p>
        </w:tc>
        <w:tc>
          <w:tcPr>
            <w:tcW w:type="dxa" w:w="1473"/>
            <w:shd w:fill="D9E2F3" w:val="clear"/>
          </w:tcPr>
          <w:p>
            <w:pPr>
              <w:jc w:val="center"/>
            </w:pPr>
            <w:r>
              <w:rPr>
                <w:b/>
                <w:sz w:val="18"/>
              </w:rPr>
              <w:t>Mean (SD)</w:t>
            </w:r>
          </w:p>
        </w:tc>
        <w:tc>
          <w:tcPr>
            <w:tcW w:type="dxa" w:w="1473"/>
            <w:shd w:fill="D9E2F3" w:val="clear"/>
          </w:tcPr>
          <w:p>
            <w:pPr>
              <w:jc w:val="center"/>
            </w:pPr>
            <w:r>
              <w:rPr>
                <w:b/>
                <w:sz w:val="18"/>
              </w:rPr>
              <w:t>Median (IQR)</w:t>
            </w:r>
          </w:p>
        </w:tc>
        <w:tc>
          <w:tcPr>
            <w:tcW w:type="dxa" w:w="1473"/>
            <w:shd w:fill="D9E2F3" w:val="clear"/>
          </w:tcPr>
          <w:p>
            <w:pPr>
              <w:jc w:val="center"/>
            </w:pPr>
            <w:r>
              <w:rPr>
                <w:b/>
                <w:sz w:val="18"/>
              </w:rPr>
              <w:t>Range</w:t>
            </w:r>
          </w:p>
        </w:tc>
        <w:tc>
          <w:tcPr>
            <w:tcW w:type="dxa" w:w="1473"/>
            <w:shd w:fill="D9E2F3" w:val="clear"/>
          </w:tcPr>
          <w:p>
            <w:pPr>
              <w:jc w:val="center"/>
            </w:pPr>
            <w:r>
              <w:rPr>
                <w:b/>
                <w:sz w:val="18"/>
              </w:rPr>
              <w:t>P value</w:t>
            </w:r>
          </w:p>
        </w:tc>
      </w:tr>
      <w:tr>
        <w:tc>
          <w:tcPr>
            <w:tcW w:type="dxa" w:w="1473"/>
          </w:tcPr>
          <w:p>
            <w:pPr>
              <w:jc w:val="left"/>
            </w:pPr>
            <w:r>
              <w:rPr>
                <w:sz w:val="18"/>
              </w:rPr>
              <w:t>Desflurane</w:t>
            </w:r>
          </w:p>
        </w:tc>
        <w:tc>
          <w:tcPr>
            <w:tcW w:type="dxa" w:w="1473"/>
          </w:tcPr>
          <w:p>
            <w:pPr>
              <w:jc w:val="center"/>
            </w:pPr>
            <w:r>
              <w:rPr>
                <w:sz w:val="18"/>
              </w:rPr>
              <w:t>60</w:t>
            </w:r>
          </w:p>
        </w:tc>
        <w:tc>
          <w:tcPr>
            <w:tcW w:type="dxa" w:w="1473"/>
          </w:tcPr>
          <w:p>
            <w:pPr>
              <w:jc w:val="center"/>
            </w:pPr>
            <w:r>
              <w:rPr>
                <w:sz w:val="18"/>
              </w:rPr>
              <w:t>$235 (225)</w:t>
            </w:r>
          </w:p>
        </w:tc>
        <w:tc>
          <w:tcPr>
            <w:tcW w:type="dxa" w:w="1473"/>
          </w:tcPr>
          <w:p>
            <w:pPr>
              <w:jc w:val="center"/>
            </w:pPr>
            <w:r>
              <w:rPr>
                <w:sz w:val="18"/>
              </w:rPr>
              <w:t>$178 (80–298)</w:t>
            </w:r>
          </w:p>
        </w:tc>
        <w:tc>
          <w:tcPr>
            <w:tcW w:type="dxa" w:w="1473"/>
          </w:tcPr>
          <w:p>
            <w:pPr>
              <w:jc w:val="center"/>
            </w:pPr>
            <w:r>
              <w:rPr>
                <w:sz w:val="18"/>
              </w:rPr>
              <w:t>$30–1336</w:t>
            </w:r>
          </w:p>
        </w:tc>
        <w:tc>
          <w:tcPr>
            <w:tcW w:type="dxa" w:w="1473"/>
          </w:tcPr>
          <w:p>
            <w:pPr>
              <w:jc w:val="center"/>
            </w:pPr>
            <w:r>
              <w:rPr>
                <w:sz w:val="18"/>
              </w:rPr>
              <w:t>&lt;0.001</w:t>
            </w:r>
          </w:p>
        </w:tc>
      </w:tr>
      <w:tr>
        <w:tc>
          <w:tcPr>
            <w:tcW w:type="dxa" w:w="1473"/>
          </w:tcPr>
          <w:p>
            <w:pPr>
              <w:jc w:val="left"/>
            </w:pPr>
            <w:r>
              <w:rPr>
                <w:sz w:val="18"/>
              </w:rPr>
              <w:t>Sevoflurane</w:t>
            </w:r>
          </w:p>
        </w:tc>
        <w:tc>
          <w:tcPr>
            <w:tcW w:type="dxa" w:w="1473"/>
          </w:tcPr>
          <w:p>
            <w:pPr>
              <w:jc w:val="center"/>
            </w:pPr>
            <w:r>
              <w:rPr>
                <w:sz w:val="18"/>
              </w:rPr>
              <w:t>21</w:t>
            </w:r>
          </w:p>
        </w:tc>
        <w:tc>
          <w:tcPr>
            <w:tcW w:type="dxa" w:w="1473"/>
          </w:tcPr>
          <w:p>
            <w:pPr>
              <w:jc w:val="center"/>
            </w:pPr>
            <w:r>
              <w:rPr>
                <w:sz w:val="18"/>
              </w:rPr>
              <w:t>$1263 (552)</w:t>
            </w:r>
          </w:p>
        </w:tc>
        <w:tc>
          <w:tcPr>
            <w:tcW w:type="dxa" w:w="1473"/>
          </w:tcPr>
          <w:p>
            <w:pPr>
              <w:jc w:val="center"/>
            </w:pPr>
            <w:r>
              <w:rPr>
                <w:sz w:val="18"/>
              </w:rPr>
              <w:t>$1277 (801–1700)</w:t>
            </w:r>
          </w:p>
        </w:tc>
        <w:tc>
          <w:tcPr>
            <w:tcW w:type="dxa" w:w="1473"/>
          </w:tcPr>
          <w:p>
            <w:pPr>
              <w:jc w:val="center"/>
            </w:pPr>
            <w:r>
              <w:rPr>
                <w:sz w:val="18"/>
              </w:rPr>
              <w:t>$397–2527</w:t>
            </w:r>
          </w:p>
        </w:tc>
        <w:tc>
          <w:tcPr>
            <w:tcW w:type="dxa" w:w="1473"/>
          </w:tcPr>
          <w:p>
            <w:pPr>
              <w:jc w:val="center"/>
            </w:pPr>
            <w:r>
              <w:rPr>
                <w:sz w:val="18"/>
              </w:rPr>
            </w:r>
          </w:p>
        </w:tc>
      </w:tr>
      <w:tr>
        <w:tc>
          <w:tcPr>
            <w:tcW w:type="dxa" w:w="1473"/>
          </w:tcPr>
          <w:p>
            <w:pPr>
              <w:jc w:val="left"/>
            </w:pPr>
            <w:r>
              <w:rPr>
                <w:sz w:val="18"/>
              </w:rPr>
              <w:t>Isoflurane</w:t>
            </w:r>
          </w:p>
        </w:tc>
        <w:tc>
          <w:tcPr>
            <w:tcW w:type="dxa" w:w="1473"/>
          </w:tcPr>
          <w:p>
            <w:pPr>
              <w:jc w:val="center"/>
            </w:pPr>
            <w:r>
              <w:rPr>
                <w:sz w:val="18"/>
              </w:rPr>
              <w:t>39</w:t>
            </w:r>
          </w:p>
        </w:tc>
        <w:tc>
          <w:tcPr>
            <w:tcW w:type="dxa" w:w="1473"/>
          </w:tcPr>
          <w:p>
            <w:pPr>
              <w:jc w:val="center"/>
            </w:pPr>
            <w:r>
              <w:rPr>
                <w:sz w:val="18"/>
              </w:rPr>
              <w:t>$651 (401)</w:t>
            </w:r>
          </w:p>
        </w:tc>
        <w:tc>
          <w:tcPr>
            <w:tcW w:type="dxa" w:w="1473"/>
          </w:tcPr>
          <w:p>
            <w:pPr>
              <w:jc w:val="center"/>
            </w:pPr>
            <w:r>
              <w:rPr>
                <w:sz w:val="18"/>
              </w:rPr>
              <w:t>$556 (367–832)</w:t>
            </w:r>
          </w:p>
        </w:tc>
        <w:tc>
          <w:tcPr>
            <w:tcW w:type="dxa" w:w="1473"/>
          </w:tcPr>
          <w:p>
            <w:pPr>
              <w:jc w:val="center"/>
            </w:pPr>
            <w:r>
              <w:rPr>
                <w:sz w:val="18"/>
              </w:rPr>
              <w:t>$185–1761</w:t>
            </w:r>
          </w:p>
        </w:tc>
        <w:tc>
          <w:tcPr>
            <w:tcW w:type="dxa" w:w="1473"/>
          </w:tcPr>
          <w:p>
            <w:pPr>
              <w:jc w:val="center"/>
            </w:pPr>
            <w:r>
              <w:rPr>
                <w:sz w:val="18"/>
              </w:rPr>
            </w:r>
          </w:p>
        </w:tc>
      </w:tr>
    </w:tbl>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