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</w:rPr>
        <w:t>Table 1. Selected ICD-11 Nosological Innovations and Predicted Effects Under the Nosological Relativity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ICD-11 Change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Cognitive Level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Institutional Level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Population Level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Chronic pain as independent entity (MG30)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Clinicians consider pain as primary diagnosis, not merely symptom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Pain medicine receives dedicated funding streams and guidelines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Increased chronic pain prevalence rates attributed to improved detection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Burnout as occupational phenomenon (QD85)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Clinicians screen for occupational factors in exhaustion presentations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Occupational health services develop burnout-specific protocols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New epidemiological data on burnout prevalence emerge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Gaming disorder (6C51)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Clinicians identify pathological gaming as a diagnosable condition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Treatment centers and clinical guidelines for gaming disorder develop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Incidence data for gaming disorder are generated and reported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Complex PTSD (6B41)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Clinicians distinguish complex from simple PTSD in trauma patients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Research funding specifically allocated to complex PTSD mechanisms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Existing PTSD patients reclassified, altering prevalence estimates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Gender incongruence reclassification (HA60–HA6Z)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Reduced cognitive association with mental illness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Care pathways reorganized away from psychiatric services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Reduced stigma-related barriers to care access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