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Nosological Relativity: Formalizing the Medical Sapir–Whorf Hypothesis</w:t>
      </w:r>
    </w:p>
    <w:p/>
    <w:p>
      <w:pPr>
        <w:jc w:val="center"/>
      </w:pPr>
      <w:r>
        <w:rPr>
          <w:sz w:val="24"/>
        </w:rPr>
        <w:t>Tatsuki Onishi</w:t>
      </w:r>
    </w:p>
    <w:p>
      <w:pPr>
        <w:jc w:val="center"/>
      </w:pPr>
      <w:r>
        <w:rPr>
          <w:i/>
          <w:sz w:val="22"/>
        </w:rPr>
        <w:t>[Department, Institution, City, Country]</w:t>
      </w:r>
    </w:p>
    <w:p/>
    <w:p>
      <w:r>
        <w:rPr>
          <w:b/>
        </w:rPr>
        <w:t xml:space="preserve">Corresponding author: </w:t>
      </w:r>
      <w:r>
        <w:t>Tatsuki Onishi, [Department, Institution, City, Country]. Email: [email address]</w:t>
      </w:r>
    </w:p>
    <w:p>
      <w:r>
        <w:rPr>
          <w:b/>
        </w:rPr>
        <w:t>Funding:</w:t>
      </w:r>
      <w:r>
        <w:t xml:space="preserve"> None declared.</w:t>
      </w:r>
    </w:p>
    <w:p>
      <w:r>
        <w:rPr>
          <w:b/>
        </w:rPr>
        <w:t>Conflicts of interest:</w:t>
      </w:r>
      <w:r>
        <w:t xml:space="preserve"> None declared.</w:t>
      </w:r>
    </w:p>
    <w:p>
      <w:r>
        <w:rPr>
          <w:b/>
        </w:rPr>
        <w:t>Acknowledgements:</w:t>
      </w:r>
      <w:r>
        <w:t xml:space="preserve"> [optional].</w:t>
      </w:r>
    </w:p>
    <w:p>
      <w:r>
        <w:rPr>
          <w:b/>
        </w:rPr>
        <w:t>Word count (main text, excluding abstract and references):</w:t>
      </w:r>
      <w:r>
        <w:t xml:space="preserve"> see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