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4"/>
        </w:rPr>
        <w:t>ORIGINAL ARTICLE</w:t>
      </w:r>
    </w:p>
    <w:p/>
    <w:p>
      <w:pPr>
        <w:spacing w:after="360"/>
        <w:jc w:val="center"/>
      </w:pPr>
      <w:r>
        <w:rPr>
          <w:rFonts w:ascii="Times New Roman" w:hAnsi="Times New Roman"/>
          <w:b/>
          <w:sz w:val="32"/>
        </w:rPr>
        <w:t>What zeroing cannot fix: detecting residual gain and dynamic-response errors after zero calibration in invasive arterial pressure monitoring</w:t>
      </w:r>
    </w:p>
    <w:p>
      <w:pPr>
        <w:spacing w:after="120"/>
        <w:jc w:val="center"/>
      </w:pPr>
      <w:r>
        <w:rPr>
          <w:rFonts w:ascii="Times New Roman" w:hAnsi="Times New Roman"/>
          <w:b w:val="0"/>
          <w:i/>
          <w:sz w:val="24"/>
        </w:rPr>
        <w:t>Running title: What zeroing cannot fix</w:t>
      </w:r>
    </w:p>
    <w:p/>
    <w:p>
      <w:pPr>
        <w:spacing w:after="120"/>
        <w:jc w:val="center"/>
      </w:pPr>
      <w:r>
        <w:rPr>
          <w:rFonts w:ascii="Times New Roman" w:hAnsi="Times New Roman"/>
          <w:b w:val="0"/>
          <w:i w:val="0"/>
          <w:sz w:val="24"/>
        </w:rPr>
        <w:t>[Author names to be completed]</w:t>
      </w:r>
    </w:p>
    <w:p>
      <w:pPr>
        <w:spacing w:after="120"/>
        <w:jc w:val="center"/>
      </w:pPr>
      <w:r>
        <w:rPr>
          <w:rFonts w:ascii="Times New Roman" w:hAnsi="Times New Roman"/>
          <w:b w:val="0"/>
          <w:i w:val="0"/>
          <w:sz w:val="24"/>
        </w:rPr>
        <w:t>[Affiliations to be completed]</w:t>
      </w:r>
    </w:p>
    <w:p/>
    <w:p>
      <w:pPr>
        <w:spacing w:after="120"/>
      </w:pPr>
      <w:r>
        <w:rPr>
          <w:rFonts w:ascii="Times New Roman" w:hAnsi="Times New Roman"/>
          <w:b/>
          <w:i w:val="0"/>
          <w:sz w:val="24"/>
        </w:rPr>
        <w:t>Corresponding author:</w:t>
      </w:r>
    </w:p>
    <w:p>
      <w:pPr>
        <w:spacing w:after="120"/>
      </w:pPr>
      <w:r>
        <w:rPr>
          <w:rFonts w:ascii="Times New Roman" w:hAnsi="Times New Roman"/>
          <w:b w:val="0"/>
          <w:i w:val="0"/>
          <w:sz w:val="24"/>
        </w:rPr>
        <w:t>[Name, address, email, ORCID]</w:t>
      </w:r>
    </w:p>
    <w:p/>
    <w:p>
      <w:pPr>
        <w:spacing w:after="120"/>
      </w:pPr>
      <w:r>
        <w:rPr>
          <w:rFonts w:ascii="Times New Roman" w:hAnsi="Times New Roman"/>
          <w:b w:val="0"/>
          <w:i w:val="0"/>
          <w:sz w:val="24"/>
        </w:rPr>
        <w:t>Word count (main text): ~4,600</w:t>
      </w:r>
    </w:p>
    <w:p>
      <w:pPr>
        <w:spacing w:after="120"/>
      </w:pPr>
      <w:r>
        <w:rPr>
          <w:rFonts w:ascii="Times New Roman" w:hAnsi="Times New Roman"/>
          <w:b w:val="0"/>
          <w:i w:val="0"/>
          <w:sz w:val="24"/>
        </w:rPr>
        <w:t>Tables: 2   Figures: 6   References: (numbered in order of appearance)</w:t>
      </w:r>
    </w:p>
    <w:p/>
    <w:p>
      <w:pPr>
        <w:spacing w:after="0"/>
      </w:pPr>
      <w:r>
        <w:rPr>
          <w:rFonts w:ascii="Times New Roman" w:hAnsi="Times New Roman"/>
          <w:b/>
          <w:i w:val="0"/>
          <w:sz w:val="24"/>
        </w:rPr>
        <w:t xml:space="preserve">Keywords: </w:t>
      </w:r>
      <w:r>
        <w:rPr>
          <w:rFonts w:ascii="Times New Roman" w:hAnsi="Times New Roman"/>
          <w:sz w:val="24"/>
        </w:rPr>
        <w:t>arterial pressure monitoring; zero calibration; concordance correlation coefficient; Bland–Altman analysis; proportional bias; dynamic response; fast-flush test; method comparison</w:t>
      </w:r>
    </w:p>
    <w:p>
      <w:r>
        <w:br w:type="page"/>
      </w:r>
    </w:p>
    <w:p>
      <w:pPr>
        <w:pStyle w:val="Heading1"/>
      </w:pPr>
      <w:r>
        <w:rPr>
          <w:rFonts w:ascii="Times New Roman" w:hAnsi="Times New Roman"/>
          <w:color w:val="000000"/>
        </w:rPr>
        <w:t>Abstract</w:t>
      </w:r>
    </w:p>
    <w:p>
      <w:pPr>
        <w:spacing w:after="40"/>
      </w:pPr>
      <w:r>
        <w:rPr>
          <w:rFonts w:ascii="Times New Roman" w:hAnsi="Times New Roman"/>
          <w:b/>
          <w:i w:val="0"/>
          <w:sz w:val="24"/>
        </w:rPr>
        <w:t>Objective</w:t>
      </w:r>
    </w:p>
    <w:p>
      <w:pPr>
        <w:spacing w:after="120"/>
      </w:pPr>
      <w:r>
        <w:rPr>
          <w:rFonts w:ascii="Times New Roman" w:hAnsi="Times New Roman"/>
          <w:b w:val="0"/>
          <w:i w:val="0"/>
          <w:sz w:val="24"/>
        </w:rPr>
        <w:t>Zero calibration of an invasive arterial pressure transducer removes the direct-current (DC) offset but not sensor-gain (scale) error. We examined which of the analyses commonly reported in device-validation studies actually detect a residual gain error after zeroing, and how a frequency-dependent dynamic-response error behaves.</w:t>
      </w:r>
    </w:p>
    <w:p>
      <w:pPr>
        <w:spacing w:after="40"/>
      </w:pPr>
      <w:r>
        <w:rPr>
          <w:rFonts w:ascii="Times New Roman" w:hAnsi="Times New Roman"/>
          <w:b/>
          <w:i w:val="0"/>
          <w:sz w:val="24"/>
        </w:rPr>
        <w:t>Methods</w:t>
      </w:r>
    </w:p>
    <w:p>
      <w:pPr>
        <w:spacing w:after="120"/>
      </w:pPr>
      <w:r>
        <w:rPr>
          <w:rFonts w:ascii="Times New Roman" w:hAnsi="Times New Roman"/>
          <w:b w:val="0"/>
          <w:i w:val="0"/>
          <w:sz w:val="24"/>
        </w:rPr>
        <w:t>Using seeded simulations we generated paired device–reference systolic pressures (n = 150 per scenario) for four cases: offset only, ideal zeroing, uncompensated gain error, and a gain error masked by a compensating offset. Each case was assessed with the minimal Bland–Altman summary (mean bias, limits of agreement), Bland–Altman difference-versus-mean regression, Deming and Passing–Bablok regression, and Lin’s concordance correlation coefficient (CCC) with its scale-shift component. Synthetic arterial waveforms were passed through optimally-, under-, and over-damped second-order catheter–transducer models.</w:t>
      </w:r>
    </w:p>
    <w:p>
      <w:pPr>
        <w:spacing w:after="40"/>
      </w:pPr>
      <w:r>
        <w:rPr>
          <w:rFonts w:ascii="Times New Roman" w:hAnsi="Times New Roman"/>
          <w:b/>
          <w:i w:val="0"/>
          <w:sz w:val="24"/>
        </w:rPr>
        <w:t>Results</w:t>
      </w:r>
    </w:p>
    <w:p>
      <w:pPr>
        <w:spacing w:after="120"/>
      </w:pPr>
      <w:r>
        <w:rPr>
          <w:rFonts w:ascii="Times New Roman" w:hAnsi="Times New Roman"/>
          <w:b w:val="0"/>
          <w:i w:val="0"/>
          <w:sz w:val="24"/>
        </w:rPr>
        <w:t>When a 10% gain error was masked by a compensating offset, the mean bias was +0.3 mmHg (apparently acceptable), yet the Bland–Altman regression slope (0.103), Deming slope (1.109), Passing–Bablok slope (1.111) and CCC scale shift (v = 1.108) all detected it. Underdamping inflated pulse pressure by 24% and overdamping attenuated it by 8%; these errors persist after zeroing and are diagnosed by the fast-flush test. CCC rose with the sampled pressure range for one fixed device (from 0.60 to 0.96).</w:t>
      </w:r>
    </w:p>
    <w:p>
      <w:pPr>
        <w:spacing w:after="40"/>
      </w:pPr>
      <w:r>
        <w:rPr>
          <w:rFonts w:ascii="Times New Roman" w:hAnsi="Times New Roman"/>
          <w:b/>
          <w:i w:val="0"/>
          <w:sz w:val="24"/>
        </w:rPr>
        <w:t>Conclusions</w:t>
      </w:r>
    </w:p>
    <w:p>
      <w:pPr>
        <w:spacing w:after="120"/>
      </w:pPr>
      <w:r>
        <w:rPr>
          <w:rFonts w:ascii="Times New Roman" w:hAnsi="Times New Roman"/>
          <w:b w:val="0"/>
          <w:i w:val="0"/>
          <w:sz w:val="24"/>
        </w:rPr>
        <w:t>A mean-bias limits-of-agreement summary can miss a clinically relevant gain error; proportional-bias–aware analyses and an explicit dynamic-response check should be reported alongside it.</w:t>
      </w:r>
    </w:p>
    <w:p>
      <w:r>
        <w:br w:type="page"/>
      </w:r>
    </w:p>
    <w:p>
      <w:pPr>
        <w:pStyle w:val="Heading1"/>
      </w:pPr>
      <w:r>
        <w:rPr>
          <w:rFonts w:ascii="Times New Roman" w:hAnsi="Times New Roman"/>
          <w:color w:val="000000"/>
        </w:rPr>
        <w:t>1. Introduction</w:t>
      </w:r>
    </w:p>
    <w:p>
      <w:pPr>
        <w:spacing w:after="120"/>
      </w:pPr>
      <w:r>
        <w:rPr>
          <w:rFonts w:ascii="Times New Roman" w:hAnsi="Times New Roman"/>
          <w:b w:val="0"/>
          <w:i w:val="0"/>
          <w:sz w:val="24"/>
        </w:rPr>
        <w:t xml:space="preserve">Invasive arterial pressure monitoring is among the most frequently performed measurements in anaesthesia and critical care. After inserting an arterial catheter, the clinician zeroes the pressure transducer to atmosphere at the level of the phlebostatic axis before monitoring </w:t>
      </w:r>
      <w:r>
        <w:rPr>
          <w:rFonts w:ascii="Times New Roman" w:hAnsi="Times New Roman"/>
          <w:b w:val="0"/>
          <w:i w:val="0"/>
          <w:sz w:val="24"/>
          <w:vertAlign w:val="superscript"/>
        </w:rPr>
        <w:t>1–2</w:t>
      </w:r>
      <w:r>
        <w:rPr>
          <w:rFonts w:ascii="Times New Roman" w:hAnsi="Times New Roman"/>
          <w:b w:val="0"/>
          <w:i w:val="0"/>
          <w:sz w:val="24"/>
        </w:rPr>
        <w:t xml:space="preserve">, and repeats zeroing whenever the height relationship between transducer and catheter changes </w:t>
      </w:r>
      <w:r>
        <w:rPr>
          <w:rFonts w:ascii="Times New Roman" w:hAnsi="Times New Roman"/>
          <w:b w:val="0"/>
          <w:i w:val="0"/>
          <w:sz w:val="24"/>
          <w:vertAlign w:val="superscript"/>
        </w:rPr>
        <w:t>3</w:t>
      </w:r>
      <w:r>
        <w:rPr>
          <w:rFonts w:ascii="Times New Roman" w:hAnsi="Times New Roman"/>
          <w:b w:val="0"/>
          <w:i w:val="0"/>
          <w:sz w:val="24"/>
        </w:rPr>
        <w:t>.</w:t>
      </w:r>
    </w:p>
    <w:p>
      <w:pPr>
        <w:spacing w:after="120"/>
      </w:pPr>
      <w:r>
        <w:rPr>
          <w:rFonts w:ascii="Times New Roman" w:hAnsi="Times New Roman"/>
          <w:b w:val="0"/>
          <w:i w:val="0"/>
          <w:sz w:val="24"/>
        </w:rPr>
        <w:t>In a fluid-filled arterial line the external transducer is connected to the catheter tip by a saline column, which introduces direct-current (DC) offsets: the hydrostatic pressure difference between transducer and measurement site, the atmospheric reference of gauge pressure, and slow transducer drift</w:t>
      </w:r>
      <w:r>
        <w:rPr>
          <w:rFonts w:ascii="Times New Roman" w:hAnsi="Times New Roman"/>
          <w:b w:val="0"/>
          <w:i w:val="0"/>
          <w:sz w:val="24"/>
          <w:vertAlign w:val="superscript"/>
        </w:rPr>
        <w:t>4–5</w:t>
      </w:r>
      <w:r>
        <w:rPr>
          <w:rFonts w:ascii="Times New Roman" w:hAnsi="Times New Roman"/>
          <w:b w:val="0"/>
          <w:i w:val="0"/>
          <w:sz w:val="24"/>
        </w:rPr>
        <w:t>. Zero calibration removes all of these offsets at once.</w:t>
      </w:r>
    </w:p>
    <w:p>
      <w:pPr>
        <w:spacing w:after="120"/>
      </w:pPr>
      <w:r>
        <w:rPr>
          <w:rFonts w:ascii="Times New Roman" w:hAnsi="Times New Roman"/>
          <w:b w:val="0"/>
          <w:i w:val="0"/>
          <w:sz w:val="24"/>
        </w:rPr>
        <w:t>Zeroing, however, is purely an offset correction: it does not verify the gain (sensitivity) of the system—the proportionality between a true pressure change and the displayed value. If the gain is wrong, the waveform is scaled and the error persists after zeroing. A second, frequency-dependent gain error arises from the dynamic response of the fluid-filled system: under- or over-damping distorts the pulsatile signal and therefore pulse pressure</w:t>
      </w:r>
      <w:r>
        <w:rPr>
          <w:rFonts w:ascii="Times New Roman" w:hAnsi="Times New Roman"/>
          <w:b w:val="0"/>
          <w:i w:val="0"/>
          <w:sz w:val="24"/>
          <w:vertAlign w:val="superscript"/>
        </w:rPr>
        <w:t>6</w:t>
      </w:r>
      <w:r>
        <w:rPr>
          <w:rFonts w:ascii="Times New Roman" w:hAnsi="Times New Roman"/>
          <w:b w:val="0"/>
          <w:i w:val="0"/>
          <w:sz w:val="24"/>
        </w:rPr>
        <w:t>.</w:t>
      </w:r>
    </w:p>
    <w:p>
      <w:pPr>
        <w:spacing w:after="120"/>
      </w:pPr>
      <w:r>
        <w:rPr>
          <w:rFonts w:ascii="Times New Roman" w:hAnsi="Times New Roman"/>
          <w:b w:val="0"/>
          <w:i w:val="0"/>
          <w:sz w:val="24"/>
        </w:rPr>
        <w:t xml:space="preserve">Validation studies for arterial pressure and derived haemodynamic monitors overwhelmingly report the Bland–Altman summary (mean bias and 95% limits of agreement) </w:t>
      </w:r>
      <w:r>
        <w:rPr>
          <w:rFonts w:ascii="Times New Roman" w:hAnsi="Times New Roman"/>
          <w:b w:val="0"/>
          <w:i w:val="0"/>
          <w:sz w:val="24"/>
          <w:vertAlign w:val="superscript"/>
        </w:rPr>
        <w:t>7</w:t>
      </w:r>
      <w:r>
        <w:rPr>
          <w:rFonts w:ascii="Times New Roman" w:hAnsi="Times New Roman"/>
          <w:b w:val="0"/>
          <w:i w:val="0"/>
          <w:sz w:val="24"/>
        </w:rPr>
        <w:t xml:space="preserve"> and the Critchley percentage error </w:t>
      </w:r>
      <w:r>
        <w:rPr>
          <w:rFonts w:ascii="Times New Roman" w:hAnsi="Times New Roman"/>
          <w:b w:val="0"/>
          <w:i w:val="0"/>
          <w:sz w:val="24"/>
          <w:vertAlign w:val="superscript"/>
        </w:rPr>
        <w:t>8</w:t>
      </w:r>
      <w:r>
        <w:rPr>
          <w:rFonts w:ascii="Times New Roman" w:hAnsi="Times New Roman"/>
          <w:b w:val="0"/>
          <w:i w:val="0"/>
          <w:sz w:val="24"/>
        </w:rPr>
        <w:t xml:space="preserve">, with attention to the precision of the reference method </w:t>
      </w:r>
      <w:r>
        <w:rPr>
          <w:rFonts w:ascii="Times New Roman" w:hAnsi="Times New Roman"/>
          <w:b w:val="0"/>
          <w:i w:val="0"/>
          <w:sz w:val="24"/>
          <w:vertAlign w:val="superscript"/>
        </w:rPr>
        <w:t>9</w:t>
      </w:r>
      <w:r>
        <w:rPr>
          <w:rFonts w:ascii="Times New Roman" w:hAnsi="Times New Roman"/>
          <w:b w:val="0"/>
          <w:i w:val="0"/>
          <w:sz w:val="24"/>
        </w:rPr>
        <w:t xml:space="preserve">. The original Bland–Altman method also includes regression of the differences on the mean to detect proportional bias </w:t>
      </w:r>
      <w:r>
        <w:rPr>
          <w:rFonts w:ascii="Times New Roman" w:hAnsi="Times New Roman"/>
          <w:b w:val="0"/>
          <w:i w:val="0"/>
          <w:sz w:val="24"/>
          <w:vertAlign w:val="superscript"/>
        </w:rPr>
        <w:t>10</w:t>
      </w:r>
      <w:r>
        <w:rPr>
          <w:rFonts w:ascii="Times New Roman" w:hAnsi="Times New Roman"/>
          <w:b w:val="0"/>
          <w:i w:val="0"/>
          <w:sz w:val="24"/>
        </w:rPr>
        <w:t>, but this step is frequently omitted, and the mean-bias summary alone can be misleading when an offset and a gain error partially cancel.</w:t>
      </w:r>
    </w:p>
    <w:p>
      <w:pPr>
        <w:spacing w:after="120"/>
      </w:pPr>
      <w:r>
        <w:rPr>
          <w:rFonts w:ascii="Times New Roman" w:hAnsi="Times New Roman"/>
          <w:b w:val="0"/>
          <w:i w:val="0"/>
          <w:sz w:val="24"/>
        </w:rPr>
        <w:t xml:space="preserve">We do not claim that gain error is invisible to a properly conducted Bland–Altman analysis. Rather, we quantify—using a reproducible simulation—which of the analyses actually reported in the literature detect a residual gain error after zeroing, and we position Lin’s concordance correlation coefficient (CCC) and its scale-shift component </w:t>
      </w:r>
      <w:r>
        <w:rPr>
          <w:rFonts w:ascii="Times New Roman" w:hAnsi="Times New Roman"/>
          <w:b w:val="0"/>
          <w:i w:val="0"/>
          <w:sz w:val="24"/>
          <w:vertAlign w:val="superscript"/>
        </w:rPr>
        <w:t>11–12</w:t>
      </w:r>
      <w:r>
        <w:rPr>
          <w:rFonts w:ascii="Times New Roman" w:hAnsi="Times New Roman"/>
          <w:b w:val="0"/>
          <w:i w:val="0"/>
          <w:sz w:val="24"/>
        </w:rPr>
        <w:t xml:space="preserve">, together with Deming </w:t>
      </w:r>
      <w:r>
        <w:rPr>
          <w:rFonts w:ascii="Times New Roman" w:hAnsi="Times New Roman"/>
          <w:b w:val="0"/>
          <w:i w:val="0"/>
          <w:sz w:val="24"/>
          <w:vertAlign w:val="superscript"/>
        </w:rPr>
        <w:t>13</w:t>
      </w:r>
      <w:r>
        <w:rPr>
          <w:rFonts w:ascii="Times New Roman" w:hAnsi="Times New Roman"/>
          <w:b w:val="0"/>
          <w:i w:val="0"/>
          <w:sz w:val="24"/>
        </w:rPr>
        <w:t xml:space="preserve"> and Passing–Bablok </w:t>
      </w:r>
      <w:r>
        <w:rPr>
          <w:rFonts w:ascii="Times New Roman" w:hAnsi="Times New Roman"/>
          <w:b w:val="0"/>
          <w:i w:val="0"/>
          <w:sz w:val="24"/>
          <w:vertAlign w:val="superscript"/>
        </w:rPr>
        <w:t>14</w:t>
      </w:r>
      <w:r>
        <w:rPr>
          <w:rFonts w:ascii="Times New Roman" w:hAnsi="Times New Roman"/>
          <w:b w:val="0"/>
          <w:i w:val="0"/>
          <w:sz w:val="24"/>
        </w:rPr>
        <w:t xml:space="preserve"> regression, as complementary diagnostics. We also integrate the dynamic-response (damping) error, which is specifically clinically relevant to fluid-filled arterial lines, and discuss the range-dependence of the CCC </w:t>
      </w:r>
      <w:r>
        <w:rPr>
          <w:rFonts w:ascii="Times New Roman" w:hAnsi="Times New Roman"/>
          <w:b w:val="0"/>
          <w:i w:val="0"/>
          <w:sz w:val="24"/>
          <w:vertAlign w:val="superscript"/>
        </w:rPr>
        <w:t>15–16</w:t>
      </w:r>
      <w:r>
        <w:rPr>
          <w:rFonts w:ascii="Times New Roman" w:hAnsi="Times New Roman"/>
          <w:b w:val="0"/>
          <w:i w:val="0"/>
          <w:sz w:val="24"/>
        </w:rPr>
        <w:t>.</w:t>
      </w:r>
    </w:p>
    <w:p>
      <w:pPr>
        <w:pStyle w:val="Heading1"/>
      </w:pPr>
      <w:r>
        <w:rPr>
          <w:rFonts w:ascii="Times New Roman" w:hAnsi="Times New Roman"/>
          <w:color w:val="000000"/>
        </w:rPr>
        <w:t>2. Methods</w:t>
      </w:r>
    </w:p>
    <w:p>
      <w:pPr>
        <w:pStyle w:val="Heading2"/>
      </w:pPr>
      <w:r>
        <w:rPr>
          <w:rFonts w:ascii="Times New Roman" w:hAnsi="Times New Roman"/>
          <w:color w:val="000000"/>
        </w:rPr>
        <w:t>2.1. Arterial pressure as DC plus AC components</w:t>
      </w:r>
    </w:p>
    <w:p>
      <w:pPr>
        <w:spacing w:after="120"/>
      </w:pPr>
      <w:r>
        <w:rPr>
          <w:rFonts w:ascii="Times New Roman" w:hAnsi="Times New Roman"/>
          <w:b w:val="0"/>
          <w:i w:val="0"/>
          <w:sz w:val="24"/>
        </w:rPr>
        <w:t>An arterial pressure waveform can be decomposed into a slowly varying DC level (mean arterial pressure plus any external offset) and a pulsatile alternating-current (AC) component driven by cardiac ejection. Pulse pressure (PP = systolic [SBP] − diastolic [DBP] pressure) is a pure AC quantity and is therefore independent of any additive DC offset but proportional to sensor gain (Fig. 1). An offset shifts the baseline without changing PP, whereas a gain error scales the whole waveform and changes PP.</w:t>
      </w:r>
    </w:p>
    <w:p>
      <w:pPr>
        <w:jc w:val="center"/>
      </w:pPr>
      <w:r>
        <w:drawing>
          <wp:inline xmlns:a="http://schemas.openxmlformats.org/drawingml/2006/main" xmlns:pic="http://schemas.openxmlformats.org/drawingml/2006/picture">
            <wp:extent cx="5669280" cy="2164634"/>
            <wp:docPr id="1" name="Picture 1"/>
            <wp:cNvGraphicFramePr>
              <a:graphicFrameLocks noChangeAspect="1"/>
            </wp:cNvGraphicFramePr>
            <a:graphic>
              <a:graphicData uri="http://schemas.openxmlformats.org/drawingml/2006/picture">
                <pic:pic>
                  <pic:nvPicPr>
                    <pic:cNvPr id="0" name="figure1_signal_decomposition.png"/>
                    <pic:cNvPicPr/>
                  </pic:nvPicPr>
                  <pic:blipFill>
                    <a:blip r:embed="rId9"/>
                    <a:stretch>
                      <a:fillRect/>
                    </a:stretch>
                  </pic:blipFill>
                  <pic:spPr>
                    <a:xfrm>
                      <a:off x="0" y="0"/>
                      <a:ext cx="5669280" cy="2164634"/>
                    </a:xfrm>
                    <a:prstGeom prst="rect"/>
                  </pic:spPr>
                </pic:pic>
              </a:graphicData>
            </a:graphic>
          </wp:inline>
        </w:drawing>
      </w:r>
    </w:p>
    <w:p>
      <w:pPr>
        <w:spacing w:before="240" w:after="240"/>
      </w:pPr>
      <w:r>
        <w:rPr>
          <w:rFonts w:ascii="Times New Roman" w:hAnsi="Times New Roman"/>
          <w:i/>
          <w:sz w:val="20"/>
        </w:rPr>
        <w:t>Figure 1. Decomposition of the arterial pressure signal. (A) A DC offset shifts the baseline but leaves pulse pressure unchanged. (B) A gain error scales the entire waveform, so pulse pressure changes in proportion to the gain. Zeroing corrects the offset in (A) but cannot correct the gain error in (B).</w:t>
      </w:r>
    </w:p>
    <w:p>
      <w:pPr>
        <w:pStyle w:val="Heading2"/>
      </w:pPr>
      <w:r>
        <w:rPr>
          <w:rFonts w:ascii="Times New Roman" w:hAnsi="Times New Roman"/>
          <w:color w:val="000000"/>
        </w:rPr>
        <w:t>2.2. Statistical methods</w:t>
      </w:r>
    </w:p>
    <w:p>
      <w:pPr>
        <w:spacing w:after="120"/>
      </w:pPr>
      <w:r>
        <w:rPr>
          <w:rFonts w:ascii="Times New Roman" w:hAnsi="Times New Roman"/>
          <w:b w:val="0"/>
          <w:i w:val="0"/>
          <w:sz w:val="24"/>
        </w:rPr>
        <w:t xml:space="preserve">For each paired dataset we computed: (i) the minimal Bland–Altman summary—mean bias, 95% limits of agreement (mean bias ± 1.96 SD) and percentage error </w:t>
      </w:r>
      <w:r>
        <w:rPr>
          <w:rFonts w:ascii="Times New Roman" w:hAnsi="Times New Roman"/>
          <w:b w:val="0"/>
          <w:i w:val="0"/>
          <w:sz w:val="24"/>
          <w:vertAlign w:val="superscript"/>
        </w:rPr>
        <w:t>8</w:t>
      </w:r>
      <w:r>
        <w:rPr>
          <w:rFonts w:ascii="Times New Roman" w:hAnsi="Times New Roman"/>
          <w:b w:val="0"/>
          <w:i w:val="0"/>
          <w:sz w:val="24"/>
        </w:rPr>
        <w:t xml:space="preserve">; (ii) the Bland–Altman regression of the differences on the mean, whose slope tests for proportional bias </w:t>
      </w:r>
      <w:r>
        <w:rPr>
          <w:rFonts w:ascii="Times New Roman" w:hAnsi="Times New Roman"/>
          <w:b w:val="0"/>
          <w:i w:val="0"/>
          <w:sz w:val="24"/>
          <w:vertAlign w:val="superscript"/>
        </w:rPr>
        <w:t>10</w:t>
      </w:r>
      <w:r>
        <w:rPr>
          <w:rFonts w:ascii="Times New Roman" w:hAnsi="Times New Roman"/>
          <w:b w:val="0"/>
          <w:i w:val="0"/>
          <w:sz w:val="24"/>
        </w:rPr>
        <w:t xml:space="preserve">; (iii) Deming regression, which allows for error in both methods, with jackknife confidence intervals </w:t>
      </w:r>
      <w:r>
        <w:rPr>
          <w:rFonts w:ascii="Times New Roman" w:hAnsi="Times New Roman"/>
          <w:b w:val="0"/>
          <w:i w:val="0"/>
          <w:sz w:val="24"/>
          <w:vertAlign w:val="superscript"/>
        </w:rPr>
        <w:t>13</w:t>
      </w:r>
      <w:r>
        <w:rPr>
          <w:rFonts w:ascii="Times New Roman" w:hAnsi="Times New Roman"/>
          <w:b w:val="0"/>
          <w:i w:val="0"/>
          <w:sz w:val="24"/>
        </w:rPr>
        <w:t xml:space="preserve">; (iv) Passing–Bablok non-parametric regression </w:t>
      </w:r>
      <w:r>
        <w:rPr>
          <w:rFonts w:ascii="Times New Roman" w:hAnsi="Times New Roman"/>
          <w:b w:val="0"/>
          <w:i w:val="0"/>
          <w:sz w:val="24"/>
          <w:vertAlign w:val="superscript"/>
        </w:rPr>
        <w:t>14</w:t>
      </w:r>
      <w:r>
        <w:rPr>
          <w:rFonts w:ascii="Times New Roman" w:hAnsi="Times New Roman"/>
          <w:b w:val="0"/>
          <w:i w:val="0"/>
          <w:sz w:val="24"/>
        </w:rPr>
        <w:t xml:space="preserve">; and (v) Lin’s CCC </w:t>
      </w:r>
      <w:r>
        <w:rPr>
          <w:rFonts w:ascii="Times New Roman" w:hAnsi="Times New Roman"/>
          <w:b w:val="0"/>
          <w:i w:val="0"/>
          <w:sz w:val="24"/>
          <w:vertAlign w:val="superscript"/>
        </w:rPr>
        <w:t>11</w:t>
      </w:r>
      <w:r>
        <w:rPr>
          <w:rFonts w:ascii="Times New Roman" w:hAnsi="Times New Roman"/>
          <w:b w:val="0"/>
          <w:i w:val="0"/>
          <w:sz w:val="24"/>
        </w:rPr>
        <w:t>.</w:t>
      </w:r>
    </w:p>
    <w:p>
      <w:pPr>
        <w:spacing w:after="120"/>
      </w:pPr>
      <w:r>
        <w:rPr>
          <w:rFonts w:ascii="Times New Roman" w:hAnsi="Times New Roman"/>
          <w:b w:val="0"/>
          <w:i w:val="0"/>
          <w:sz w:val="24"/>
        </w:rPr>
        <w:t xml:space="preserve">Lin’s CCC (ρc) decomposes as ρc = r × C_b, where r is Pearson’s correlation (precision) and C_b is the bias-correction factor (accuracy) </w:t>
      </w:r>
      <w:r>
        <w:rPr>
          <w:rFonts w:ascii="Times New Roman" w:hAnsi="Times New Roman"/>
          <w:b w:val="0"/>
          <w:i w:val="0"/>
          <w:sz w:val="24"/>
          <w:vertAlign w:val="superscript"/>
        </w:rPr>
        <w:t>12</w:t>
      </w:r>
      <w:r>
        <w:rPr>
          <w:rFonts w:ascii="Times New Roman" w:hAnsi="Times New Roman"/>
          <w:b w:val="0"/>
          <w:i w:val="0"/>
          <w:sz w:val="24"/>
        </w:rPr>
        <w:t>. C_b further decomposes as:</w:t>
      </w:r>
    </w:p>
    <w:p>
      <w:pPr>
        <w:spacing w:after="120"/>
        <w:jc w:val="center"/>
      </w:pPr>
      <w:r>
        <w:rPr>
          <w:rFonts w:ascii="Times New Roman" w:hAnsi="Times New Roman"/>
          <w:i/>
          <w:sz w:val="24"/>
        </w:rPr>
        <w:t>C_b = 2 / (v + 1/v + u²)</w:t>
      </w:r>
    </w:p>
    <w:p>
      <w:pPr>
        <w:spacing w:after="120"/>
      </w:pPr>
      <w:r>
        <w:rPr>
          <w:rFonts w:ascii="Times New Roman" w:hAnsi="Times New Roman"/>
          <w:b w:val="0"/>
          <w:i w:val="0"/>
          <w:sz w:val="24"/>
        </w:rPr>
        <w:t>where v = σ_device/σ_reference is the scale shift (the gain ratio) and u = (μ_device − μ_reference)/√(σ_deviceσ_reference) is the location shift (offset). Zeroing drives u toward zero but leaves v unchanged; a residual gain error keeps v ≠ 1 even after perfect zeroing.</w:t>
      </w:r>
    </w:p>
    <w:p>
      <w:pPr>
        <w:spacing w:after="120"/>
      </w:pPr>
      <w:r>
        <w:rPr>
          <w:rFonts w:ascii="Times New Roman" w:hAnsi="Times New Roman"/>
          <w:b w:val="0"/>
          <w:i w:val="0"/>
          <w:sz w:val="24"/>
        </w:rPr>
        <w:t xml:space="preserve">We used fixed a-priori detection rules, reported here so they cannot be chosen post hoc: the mean-bias summary flags an error if |mean bias| &gt; 5.0 mmHg; the Bland–Altman regression flags if the slope 95% confidence interval (CI) excludes 0; Deming and Passing–Bablok flag if the slope 95% CI excludes 1; and the CCC scale shift flags if |v − 1| &gt; 0.05. Strength of agreement was interpreted using published CCC criteria </w:t>
      </w:r>
      <w:r>
        <w:rPr>
          <w:rFonts w:ascii="Times New Roman" w:hAnsi="Times New Roman"/>
          <w:b w:val="0"/>
          <w:i w:val="0"/>
          <w:sz w:val="24"/>
          <w:vertAlign w:val="superscript"/>
        </w:rPr>
        <w:t>17</w:t>
      </w:r>
      <w:r>
        <w:rPr>
          <w:rFonts w:ascii="Times New Roman" w:hAnsi="Times New Roman"/>
          <w:b w:val="0"/>
          <w:i w:val="0"/>
          <w:sz w:val="24"/>
        </w:rPr>
        <w:t>.</w:t>
      </w:r>
    </w:p>
    <w:p>
      <w:pPr>
        <w:pStyle w:val="Heading2"/>
      </w:pPr>
      <w:r>
        <w:rPr>
          <w:rFonts w:ascii="Times New Roman" w:hAnsi="Times New Roman"/>
          <w:color w:val="000000"/>
        </w:rPr>
        <w:t>2.3. Dynamic response and the fast-flush test</w:t>
      </w:r>
    </w:p>
    <w:p>
      <w:pPr>
        <w:spacing w:after="120"/>
      </w:pPr>
      <w:r>
        <w:rPr>
          <w:rFonts w:ascii="Times New Roman" w:hAnsi="Times New Roman"/>
          <w:b w:val="0"/>
          <w:i w:val="0"/>
          <w:sz w:val="24"/>
        </w:rPr>
        <w:t xml:space="preserve">The fluid-filled catheter–transducer system behaves as a second-order system characterised by a natural frequency f_n and a damping coefficient ζ </w:t>
      </w:r>
      <w:r>
        <w:rPr>
          <w:rFonts w:ascii="Times New Roman" w:hAnsi="Times New Roman"/>
          <w:b w:val="0"/>
          <w:i w:val="0"/>
          <w:sz w:val="24"/>
          <w:vertAlign w:val="superscript"/>
        </w:rPr>
        <w:t>6</w:t>
      </w:r>
      <w:r>
        <w:rPr>
          <w:rFonts w:ascii="Times New Roman" w:hAnsi="Times New Roman"/>
          <w:b w:val="0"/>
          <w:i w:val="0"/>
          <w:sz w:val="24"/>
        </w:rPr>
        <w:t xml:space="preserve">. We modelled its transfer function H(f) = 1/[1 − (f/f_n)² + i·2ζ(f/f_n)] and applied it to the Fourier harmonics of synthetic arterial waveforms. Under-damping (low ζ, resonance near the arterial harmonics) causes systolic overshoot and PP over-estimation; over-damping attenuates PP. Both are gain errors on the pulsatile signal that zeroing cannot correct, and both are quantified at the bedside by the fast-flush (square-wave) test </w:t>
      </w:r>
      <w:r>
        <w:rPr>
          <w:rFonts w:ascii="Times New Roman" w:hAnsi="Times New Roman"/>
          <w:b w:val="0"/>
          <w:i w:val="0"/>
          <w:sz w:val="24"/>
          <w:vertAlign w:val="superscript"/>
        </w:rPr>
        <w:t>18–19</w:t>
      </w:r>
      <w:r>
        <w:rPr>
          <w:rFonts w:ascii="Times New Roman" w:hAnsi="Times New Roman"/>
          <w:b w:val="0"/>
          <w:i w:val="0"/>
          <w:sz w:val="24"/>
        </w:rPr>
        <w:t>.</w:t>
      </w:r>
    </w:p>
    <w:p>
      <w:pPr>
        <w:pStyle w:val="Heading2"/>
      </w:pPr>
      <w:r>
        <w:rPr>
          <w:rFonts w:ascii="Times New Roman" w:hAnsi="Times New Roman"/>
          <w:color w:val="000000"/>
        </w:rPr>
        <w:t>2.4. Simulation design and reproducibility</w:t>
      </w:r>
    </w:p>
    <w:p>
      <w:pPr>
        <w:spacing w:after="120"/>
      </w:pPr>
      <w:r>
        <w:rPr>
          <w:rFonts w:ascii="Times New Roman" w:hAnsi="Times New Roman"/>
          <w:b w:val="0"/>
          <w:i w:val="0"/>
          <w:sz w:val="24"/>
        </w:rPr>
        <w:t>All data in this study are simulated, not measured in patients. Static scenarios comprised n = 150 paired systolic pressures drawn uniformly over 80–180 mmHg with Gaussian measurement noise (SD = 3.0 mmHg): S1 offset only (+12.0 mmHg, gain 1.0); S2 ideal zeroing (offset removed, gain 1.0); S3 uncompensated gain error (gain 1.10); and S4 the same gain error with a compensating negative offset chosen so the mean difference is approximately zero. Dynamic scenarios passed synthetic waveforms through optimal, under-damped and over-damped systems. A range-dependence experiment sampled one fixed device (5% gain error) over pressure ranges of increasing width. The random seed, all parameters and the full pipeline (simulate → analyse → figures → manuscript) are provided in the public repository so that a third party can regenerate every number, table and figure from a clean clone.</w:t>
      </w:r>
    </w:p>
    <w:p>
      <w:pPr>
        <w:pStyle w:val="Heading1"/>
      </w:pPr>
      <w:r>
        <w:rPr>
          <w:rFonts w:ascii="Times New Roman" w:hAnsi="Times New Roman"/>
          <w:color w:val="000000"/>
        </w:rPr>
        <w:t>3. Results</w:t>
      </w:r>
    </w:p>
    <w:p>
      <w:pPr>
        <w:pStyle w:val="Heading2"/>
      </w:pPr>
      <w:r>
        <w:rPr>
          <w:rFonts w:ascii="Times New Roman" w:hAnsi="Times New Roman"/>
          <w:color w:val="000000"/>
        </w:rPr>
        <w:t>3.1. Static scenarios</w:t>
      </w:r>
    </w:p>
    <w:p>
      <w:pPr>
        <w:spacing w:after="120"/>
      </w:pPr>
      <w:r>
        <w:rPr>
          <w:rFonts w:ascii="Times New Roman" w:hAnsi="Times New Roman"/>
          <w:b w:val="0"/>
          <w:i w:val="0"/>
          <w:sz w:val="24"/>
        </w:rPr>
        <w:t>Concordance plots for the four static scenarios are shown in Fig. 2 and the full metrics in Table 1. Ideal zeroing (S2) gave near-perfect agreement (mean bias +0.1 mmHg, CCC 0.995, v 0.990). An uncompensated 10% gain error (S3) was obvious on every analysis, including the mean bias (+12.7 mmHg): gain error is not invisible to a Bland–Altman analysis.</w:t>
      </w:r>
    </w:p>
    <w:p>
      <w:pPr>
        <w:jc w:val="center"/>
      </w:pPr>
      <w:r>
        <w:drawing>
          <wp:inline xmlns:a="http://schemas.openxmlformats.org/drawingml/2006/main" xmlns:pic="http://schemas.openxmlformats.org/drawingml/2006/picture">
            <wp:extent cx="5669280" cy="5102352"/>
            <wp:docPr id="2" name="Picture 2"/>
            <wp:cNvGraphicFramePr>
              <a:graphicFrameLocks noChangeAspect="1"/>
            </wp:cNvGraphicFramePr>
            <a:graphic>
              <a:graphicData uri="http://schemas.openxmlformats.org/drawingml/2006/picture">
                <pic:pic>
                  <pic:nvPicPr>
                    <pic:cNvPr id="0" name="figure2_scenarios_concordance.png"/>
                    <pic:cNvPicPr/>
                  </pic:nvPicPr>
                  <pic:blipFill>
                    <a:blip r:embed="rId10"/>
                    <a:stretch>
                      <a:fillRect/>
                    </a:stretch>
                  </pic:blipFill>
                  <pic:spPr>
                    <a:xfrm>
                      <a:off x="0" y="0"/>
                      <a:ext cx="5669280" cy="5102352"/>
                    </a:xfrm>
                    <a:prstGeom prst="rect"/>
                  </pic:spPr>
                </pic:pic>
              </a:graphicData>
            </a:graphic>
          </wp:inline>
        </w:drawing>
      </w:r>
    </w:p>
    <w:p>
      <w:pPr>
        <w:spacing w:before="240" w:after="240"/>
      </w:pPr>
      <w:r>
        <w:rPr>
          <w:rFonts w:ascii="Times New Roman" w:hAnsi="Times New Roman"/>
          <w:i/>
          <w:sz w:val="20"/>
        </w:rPr>
        <w:t>Figure 2. Device-versus-reference concordance for the four static scenarios (dashed line = identity). Each panel shows the CCC, the CCC scale shift v, and the Bland–Altman mean bias. S4 has a near-zero mean bias despite a 10% gain error.</w:t>
      </w:r>
    </w:p>
    <w:p>
      <w:pPr>
        <w:spacing w:after="120"/>
      </w:pPr>
      <w:r>
        <w:rPr>
          <w:rFonts w:ascii="Times New Roman" w:hAnsi="Times New Roman"/>
          <w:b w:val="0"/>
          <w:i w:val="0"/>
          <w:sz w:val="24"/>
        </w:rPr>
        <w:t>The decisive case is S4, where a compensating offset makes the mean bias only +0.3 mmHg—within the ±5.0 mmHg acceptance band—so the minimal Bland–Altman summary does not flag any problem. Every proportional-bias–aware analysis nonetheless detects the hidden gain error: the Bland–Altman regression slope is 0.103 (95% CI 0.087 to 0.119), the Deming slope 1.109 (95% CI 1.091 to 1.126), the Passing–Bablok slope 1.111 (95% CI 1.092 to 1.130), and the CCC scale shift v = 1.108. The detection pattern across all scenarios is summarised in Fig. 3, and the difference-versus-mean plots for S2 and S4 in Fig. 4.</w:t>
      </w:r>
    </w:p>
    <w:p>
      <w:pPr>
        <w:jc w:val="center"/>
      </w:pPr>
      <w:r>
        <w:drawing>
          <wp:inline xmlns:a="http://schemas.openxmlformats.org/drawingml/2006/main" xmlns:pic="http://schemas.openxmlformats.org/drawingml/2006/picture">
            <wp:extent cx="5669280" cy="3334871"/>
            <wp:docPr id="3" name="Picture 3"/>
            <wp:cNvGraphicFramePr>
              <a:graphicFrameLocks noChangeAspect="1"/>
            </wp:cNvGraphicFramePr>
            <a:graphic>
              <a:graphicData uri="http://schemas.openxmlformats.org/drawingml/2006/picture">
                <pic:pic>
                  <pic:nvPicPr>
                    <pic:cNvPr id="0" name="figure3_detection_panel.png"/>
                    <pic:cNvPicPr/>
                  </pic:nvPicPr>
                  <pic:blipFill>
                    <a:blip r:embed="rId11"/>
                    <a:stretch>
                      <a:fillRect/>
                    </a:stretch>
                  </pic:blipFill>
                  <pic:spPr>
                    <a:xfrm>
                      <a:off x="0" y="0"/>
                      <a:ext cx="5669280" cy="3334871"/>
                    </a:xfrm>
                    <a:prstGeom prst="rect"/>
                  </pic:spPr>
                </pic:pic>
              </a:graphicData>
            </a:graphic>
          </wp:inline>
        </w:drawing>
      </w:r>
    </w:p>
    <w:p>
      <w:pPr>
        <w:spacing w:before="240" w:after="240"/>
      </w:pPr>
      <w:r>
        <w:rPr>
          <w:rFonts w:ascii="Times New Roman" w:hAnsi="Times New Roman"/>
          <w:i/>
          <w:sz w:val="20"/>
        </w:rPr>
        <w:t>Figure 3. Which reported analysis detects the error in each scenario (green = detected, grey = missed). In S4 the mean-bias summary misses the gain error that every proportional-bias–aware analysis detects.</w:t>
      </w:r>
    </w:p>
    <w:p>
      <w:pPr>
        <w:jc w:val="center"/>
      </w:pPr>
      <w:r>
        <w:drawing>
          <wp:inline xmlns:a="http://schemas.openxmlformats.org/drawingml/2006/main" xmlns:pic="http://schemas.openxmlformats.org/drawingml/2006/picture">
            <wp:extent cx="5669280" cy="2370790"/>
            <wp:docPr id="4" name="Picture 4"/>
            <wp:cNvGraphicFramePr>
              <a:graphicFrameLocks noChangeAspect="1"/>
            </wp:cNvGraphicFramePr>
            <a:graphic>
              <a:graphicData uri="http://schemas.openxmlformats.org/drawingml/2006/picture">
                <pic:pic>
                  <pic:nvPicPr>
                    <pic:cNvPr id="0" name="figure4_ba_masked_gain.png"/>
                    <pic:cNvPicPr/>
                  </pic:nvPicPr>
                  <pic:blipFill>
                    <a:blip r:embed="rId12"/>
                    <a:stretch>
                      <a:fillRect/>
                    </a:stretch>
                  </pic:blipFill>
                  <pic:spPr>
                    <a:xfrm>
                      <a:off x="0" y="0"/>
                      <a:ext cx="5669280" cy="2370790"/>
                    </a:xfrm>
                    <a:prstGeom prst="rect"/>
                  </pic:spPr>
                </pic:pic>
              </a:graphicData>
            </a:graphic>
          </wp:inline>
        </w:drawing>
      </w:r>
    </w:p>
    <w:p>
      <w:pPr>
        <w:spacing w:before="240" w:after="240"/>
      </w:pPr>
      <w:r>
        <w:rPr>
          <w:rFonts w:ascii="Times New Roman" w:hAnsi="Times New Roman"/>
          <w:i/>
          <w:sz w:val="20"/>
        </w:rPr>
        <w:t>Figure 4. Bland–Altman difference-versus-mean plots. In S2 the regression slope is flat; in S4 the slope is clearly positive despite a near-zero mean bias, revealing the masked proportional (gain) error.</w:t>
      </w:r>
    </w:p>
    <w:p>
      <w:pPr>
        <w:pStyle w:val="Heading2"/>
      </w:pPr>
      <w:r>
        <w:rPr>
          <w:rFonts w:ascii="Times New Roman" w:hAnsi="Times New Roman"/>
          <w:color w:val="000000"/>
        </w:rPr>
        <w:t>3.2. Dynamic-response scenarios</w:t>
      </w:r>
    </w:p>
    <w:p>
      <w:pPr>
        <w:spacing w:after="120"/>
      </w:pPr>
      <w:r>
        <w:rPr>
          <w:rFonts w:ascii="Times New Roman" w:hAnsi="Times New Roman"/>
          <w:b w:val="0"/>
          <w:i w:val="0"/>
          <w:sz w:val="24"/>
        </w:rPr>
        <w:t>Dynamic-response metrics are given in Table 2 and illustrated in Fig. 5. The optimal system reproduced PP faithfully (PP ratio 1.01). Under-damping produced systolic overshoot and inflated PP by 24% (PP ratio 1.24, CCC scale shift v = 1.28); over-damping attenuated PP by 8% (PP ratio 0.92). These are gain errors on the pulsatile signal that survive zeroing. Because the distortion is frequency-dependent (it varies with heart rate rather than with pressure amplitude), it maps only partially onto the amplitude-proportional model underlying the static regression statistics, which is why it is best characterised directly by the fast-flush test parameters (f_n, ζ).</w:t>
      </w:r>
    </w:p>
    <w:p>
      <w:pPr>
        <w:jc w:val="center"/>
      </w:pPr>
      <w:r>
        <w:drawing>
          <wp:inline xmlns:a="http://schemas.openxmlformats.org/drawingml/2006/main" xmlns:pic="http://schemas.openxmlformats.org/drawingml/2006/picture">
            <wp:extent cx="5669280" cy="2006053"/>
            <wp:docPr id="5" name="Picture 5"/>
            <wp:cNvGraphicFramePr>
              <a:graphicFrameLocks noChangeAspect="1"/>
            </wp:cNvGraphicFramePr>
            <a:graphic>
              <a:graphicData uri="http://schemas.openxmlformats.org/drawingml/2006/picture">
                <pic:pic>
                  <pic:nvPicPr>
                    <pic:cNvPr id="0" name="figure5_dynamic_response.png"/>
                    <pic:cNvPicPr/>
                  </pic:nvPicPr>
                  <pic:blipFill>
                    <a:blip r:embed="rId13"/>
                    <a:stretch>
                      <a:fillRect/>
                    </a:stretch>
                  </pic:blipFill>
                  <pic:spPr>
                    <a:xfrm>
                      <a:off x="0" y="0"/>
                      <a:ext cx="5669280" cy="2006053"/>
                    </a:xfrm>
                    <a:prstGeom prst="rect"/>
                  </pic:spPr>
                </pic:pic>
              </a:graphicData>
            </a:graphic>
          </wp:inline>
        </w:drawing>
      </w:r>
    </w:p>
    <w:p>
      <w:pPr>
        <w:spacing w:before="240" w:after="240"/>
      </w:pPr>
      <w:r>
        <w:rPr>
          <w:rFonts w:ascii="Times New Roman" w:hAnsi="Times New Roman"/>
          <w:i/>
          <w:sz w:val="20"/>
        </w:rPr>
        <w:t>Figure 5. Dynamic response of the catheter–transducer system. (A) Frequency response of optimal, under-damped and over-damped systems with the arterial harmonics overlaid. (B) Example waveforms. (C) Measured versus true pulse pressure, with the mean PP ratio per system.</w:t>
      </w:r>
    </w:p>
    <w:p>
      <w:pPr>
        <w:pStyle w:val="Heading2"/>
      </w:pPr>
      <w:r>
        <w:rPr>
          <w:rFonts w:ascii="Times New Roman" w:hAnsi="Times New Roman"/>
          <w:color w:val="000000"/>
        </w:rPr>
        <w:t>3.3. Range-dependence of the CCC</w:t>
      </w:r>
    </w:p>
    <w:p>
      <w:pPr>
        <w:spacing w:after="120"/>
      </w:pPr>
      <w:r>
        <w:rPr>
          <w:rFonts w:ascii="Times New Roman" w:hAnsi="Times New Roman"/>
          <w:b w:val="0"/>
          <w:i w:val="0"/>
          <w:sz w:val="24"/>
        </w:rPr>
        <w:t xml:space="preserve">For a single device with a fixed 5% gain error, the CCC rose from 0.60 when sampled over a narrow pressure range (20 mmHg wide) to 0.96 over a wide range (100 mmHg), while the scale shift v remained close to its true value (Fig. 6). The CCC therefore should be reported together with the sampled pressure range; the structural components (C_b, v) are more transportable across studies </w:t>
      </w:r>
      <w:r>
        <w:rPr>
          <w:rFonts w:ascii="Times New Roman" w:hAnsi="Times New Roman"/>
          <w:b w:val="0"/>
          <w:i w:val="0"/>
          <w:sz w:val="24"/>
          <w:vertAlign w:val="superscript"/>
        </w:rPr>
        <w:t>15</w:t>
      </w:r>
      <w:r>
        <w:rPr>
          <w:rFonts w:ascii="Times New Roman" w:hAnsi="Times New Roman"/>
          <w:b w:val="0"/>
          <w:i w:val="0"/>
          <w:sz w:val="24"/>
        </w:rPr>
        <w:t>.</w:t>
      </w:r>
    </w:p>
    <w:p>
      <w:pPr>
        <w:jc w:val="center"/>
      </w:pPr>
      <w:r>
        <w:drawing>
          <wp:inline xmlns:a="http://schemas.openxmlformats.org/drawingml/2006/main" xmlns:pic="http://schemas.openxmlformats.org/drawingml/2006/picture">
            <wp:extent cx="5669280" cy="3628339"/>
            <wp:docPr id="6" name="Picture 6"/>
            <wp:cNvGraphicFramePr>
              <a:graphicFrameLocks noChangeAspect="1"/>
            </wp:cNvGraphicFramePr>
            <a:graphic>
              <a:graphicData uri="http://schemas.openxmlformats.org/drawingml/2006/picture">
                <pic:pic>
                  <pic:nvPicPr>
                    <pic:cNvPr id="0" name="figure6_range_dependence.png"/>
                    <pic:cNvPicPr/>
                  </pic:nvPicPr>
                  <pic:blipFill>
                    <a:blip r:embed="rId14"/>
                    <a:stretch>
                      <a:fillRect/>
                    </a:stretch>
                  </pic:blipFill>
                  <pic:spPr>
                    <a:xfrm>
                      <a:off x="0" y="0"/>
                      <a:ext cx="5669280" cy="3628339"/>
                    </a:xfrm>
                    <a:prstGeom prst="rect"/>
                  </pic:spPr>
                </pic:pic>
              </a:graphicData>
            </a:graphic>
          </wp:inline>
        </w:drawing>
      </w:r>
    </w:p>
    <w:p>
      <w:pPr>
        <w:spacing w:before="240" w:after="240"/>
      </w:pPr>
      <w:r>
        <w:rPr>
          <w:rFonts w:ascii="Times New Roman" w:hAnsi="Times New Roman"/>
          <w:i/>
          <w:sz w:val="20"/>
        </w:rPr>
        <w:t>Figure 6. Range-dependence of the CCC. For one fixed device, the CCC and C_b increase as the sampled pressure range widens, whereas the scale shift v stays close to the true gain ratio.</w:t>
      </w:r>
    </w:p>
    <w:p>
      <w:pPr>
        <w:pStyle w:val="Heading1"/>
      </w:pPr>
      <w:r>
        <w:rPr>
          <w:rFonts w:ascii="Times New Roman" w:hAnsi="Times New Roman"/>
          <w:color w:val="000000"/>
        </w:rPr>
        <w:t>4. Discussion</w:t>
      </w:r>
    </w:p>
    <w:p>
      <w:pPr>
        <w:spacing w:after="120"/>
      </w:pPr>
      <w:r>
        <w:rPr>
          <w:rFonts w:ascii="Times New Roman" w:hAnsi="Times New Roman"/>
          <w:b w:val="0"/>
          <w:i w:val="0"/>
          <w:sz w:val="24"/>
        </w:rPr>
        <w:t xml:space="preserve">Our central finding is narrow and, we believe, defensible: the mean-bias–plus–limits-of-agreement summary that dominates device-validation reporting can miss a clinically relevant gain error when a coincidental offset cancels its effect on the mean, whereas the Bland–Altman difference-versus-mean regression </w:t>
      </w:r>
      <w:r>
        <w:rPr>
          <w:rFonts w:ascii="Times New Roman" w:hAnsi="Times New Roman"/>
          <w:b w:val="0"/>
          <w:i w:val="0"/>
          <w:sz w:val="24"/>
          <w:vertAlign w:val="superscript"/>
        </w:rPr>
        <w:t>10</w:t>
      </w:r>
      <w:r>
        <w:rPr>
          <w:rFonts w:ascii="Times New Roman" w:hAnsi="Times New Roman"/>
          <w:b w:val="0"/>
          <w:i w:val="0"/>
          <w:sz w:val="24"/>
        </w:rPr>
        <w:t xml:space="preserve">, Deming </w:t>
      </w:r>
      <w:r>
        <w:rPr>
          <w:rFonts w:ascii="Times New Roman" w:hAnsi="Times New Roman"/>
          <w:b w:val="0"/>
          <w:i w:val="0"/>
          <w:sz w:val="24"/>
          <w:vertAlign w:val="superscript"/>
        </w:rPr>
        <w:t>13</w:t>
      </w:r>
      <w:r>
        <w:rPr>
          <w:rFonts w:ascii="Times New Roman" w:hAnsi="Times New Roman"/>
          <w:b w:val="0"/>
          <w:i w:val="0"/>
          <w:sz w:val="24"/>
        </w:rPr>
        <w:t xml:space="preserve"> and Passing–Bablok </w:t>
      </w:r>
      <w:r>
        <w:rPr>
          <w:rFonts w:ascii="Times New Roman" w:hAnsi="Times New Roman"/>
          <w:b w:val="0"/>
          <w:i w:val="0"/>
          <w:sz w:val="24"/>
          <w:vertAlign w:val="superscript"/>
        </w:rPr>
        <w:t>14</w:t>
      </w:r>
      <w:r>
        <w:rPr>
          <w:rFonts w:ascii="Times New Roman" w:hAnsi="Times New Roman"/>
          <w:b w:val="0"/>
          <w:i w:val="0"/>
          <w:sz w:val="24"/>
        </w:rPr>
        <w:t xml:space="preserve"> regression, and the CCC scale shift </w:t>
      </w:r>
      <w:r>
        <w:rPr>
          <w:rFonts w:ascii="Times New Roman" w:hAnsi="Times New Roman"/>
          <w:b w:val="0"/>
          <w:i w:val="0"/>
          <w:sz w:val="24"/>
          <w:vertAlign w:val="superscript"/>
        </w:rPr>
        <w:t>12</w:t>
      </w:r>
      <w:r>
        <w:rPr>
          <w:rFonts w:ascii="Times New Roman" w:hAnsi="Times New Roman"/>
          <w:b w:val="0"/>
          <w:i w:val="0"/>
          <w:sz w:val="24"/>
        </w:rPr>
        <w:t xml:space="preserve"> all detect it. This is a critique of common reporting practice, not of the Bland–Altman method itself.</w:t>
      </w:r>
    </w:p>
    <w:p>
      <w:pPr>
        <w:pStyle w:val="Heading2"/>
      </w:pPr>
      <w:r>
        <w:rPr>
          <w:rFonts w:ascii="Times New Roman" w:hAnsi="Times New Roman"/>
          <w:color w:val="000000"/>
        </w:rPr>
        <w:t>4.1. Recommendations for validation reporting</w:t>
      </w:r>
    </w:p>
    <w:p>
      <w:pPr>
        <w:spacing w:after="120"/>
      </w:pPr>
      <w:r>
        <w:rPr>
          <w:rFonts w:ascii="Times New Roman" w:hAnsi="Times New Roman"/>
          <w:b w:val="0"/>
          <w:i w:val="0"/>
          <w:sz w:val="24"/>
        </w:rPr>
        <w:t xml:space="preserve">Validation studies of arterial pressure and derived monitors </w:t>
      </w:r>
      <w:r>
        <w:rPr>
          <w:rFonts w:ascii="Times New Roman" w:hAnsi="Times New Roman"/>
          <w:b w:val="0"/>
          <w:i w:val="0"/>
          <w:sz w:val="24"/>
          <w:vertAlign w:val="superscript"/>
        </w:rPr>
        <w:t>20–21</w:t>
      </w:r>
      <w:r>
        <w:rPr>
          <w:rFonts w:ascii="Times New Roman" w:hAnsi="Times New Roman"/>
          <w:b w:val="0"/>
          <w:i w:val="0"/>
          <w:sz w:val="24"/>
        </w:rPr>
        <w:t xml:space="preserve"> should therefore report, in addition to mean bias and limits of agreement: (i) the Bland–Altman regression slope with its CI (or, equivalently, a Deming or Passing–Bablok slope); (ii) the CCC with its decomposition into r, C_b, u and v; and (iii) the sampled pressure range, because the CCC is range-dependent </w:t>
      </w:r>
      <w:r>
        <w:rPr>
          <w:rFonts w:ascii="Times New Roman" w:hAnsi="Times New Roman"/>
          <w:b w:val="0"/>
          <w:i w:val="0"/>
          <w:sz w:val="24"/>
          <w:vertAlign w:val="superscript"/>
        </w:rPr>
        <w:t>15–16</w:t>
      </w:r>
      <w:r>
        <w:rPr>
          <w:rFonts w:ascii="Times New Roman" w:hAnsi="Times New Roman"/>
          <w:b w:val="0"/>
          <w:i w:val="0"/>
          <w:sz w:val="24"/>
        </w:rPr>
        <w:t xml:space="preserve">. Notably, C_b alone is relatively insensitive to a pure gain error (in S4, C_b was 0.995 despite v = 1.108); the scale shift v should be reported explicitly. These additions cost nothing beyond a few lines of analysis and would let regulators and clinicians </w:t>
      </w:r>
      <w:r>
        <w:rPr>
          <w:rFonts w:ascii="Times New Roman" w:hAnsi="Times New Roman"/>
          <w:b w:val="0"/>
          <w:i w:val="0"/>
          <w:sz w:val="24"/>
          <w:vertAlign w:val="superscript"/>
        </w:rPr>
        <w:t>22</w:t>
      </w:r>
      <w:r>
        <w:rPr>
          <w:rFonts w:ascii="Times New Roman" w:hAnsi="Times New Roman"/>
          <w:b w:val="0"/>
          <w:i w:val="0"/>
          <w:sz w:val="24"/>
        </w:rPr>
        <w:t xml:space="preserve"> distinguish offset-corrected agreement from genuine gain accuracy.</w:t>
      </w:r>
    </w:p>
    <w:p>
      <w:pPr>
        <w:pStyle w:val="Heading2"/>
      </w:pPr>
      <w:r>
        <w:rPr>
          <w:rFonts w:ascii="Times New Roman" w:hAnsi="Times New Roman"/>
          <w:color w:val="000000"/>
        </w:rPr>
        <w:t>4.2. Dynamic response is a distinct, clinical gain error</w:t>
      </w:r>
    </w:p>
    <w:p>
      <w:pPr>
        <w:spacing w:after="120"/>
      </w:pPr>
      <w:r>
        <w:rPr>
          <w:rFonts w:ascii="Times New Roman" w:hAnsi="Times New Roman"/>
          <w:b w:val="0"/>
          <w:i w:val="0"/>
          <w:sz w:val="24"/>
        </w:rPr>
        <w:t xml:space="preserve">The dynamic-response error is specific to fluid-filled systems and is routinely encountered at the bedside as under-damping (air bubbles, long compliant tubing) or over-damping (clots, kinks) </w:t>
      </w:r>
      <w:r>
        <w:rPr>
          <w:rFonts w:ascii="Times New Roman" w:hAnsi="Times New Roman"/>
          <w:b w:val="0"/>
          <w:i w:val="0"/>
          <w:sz w:val="24"/>
          <w:vertAlign w:val="superscript"/>
        </w:rPr>
        <w:t>6,19</w:t>
      </w:r>
      <w:r>
        <w:rPr>
          <w:rFonts w:ascii="Times New Roman" w:hAnsi="Times New Roman"/>
          <w:b w:val="0"/>
          <w:i w:val="0"/>
          <w:sz w:val="24"/>
        </w:rPr>
        <w:t xml:space="preserve">. Because it is frequency-dependent, it is not fully captured by static method-comparison statistics and is best assessed directly with the fast-flush test, from which f_n and ζ are read </w:t>
      </w:r>
      <w:r>
        <w:rPr>
          <w:rFonts w:ascii="Times New Roman" w:hAnsi="Times New Roman"/>
          <w:b w:val="0"/>
          <w:i w:val="0"/>
          <w:sz w:val="24"/>
          <w:vertAlign w:val="superscript"/>
        </w:rPr>
        <w:t>18</w:t>
      </w:r>
      <w:r>
        <w:rPr>
          <w:rFonts w:ascii="Times New Roman" w:hAnsi="Times New Roman"/>
          <w:b w:val="0"/>
          <w:i w:val="0"/>
          <w:sz w:val="24"/>
        </w:rPr>
        <w:t>. We therefore recommend that a fast-flush dynamic-response check accompany any accuracy statement for a fluid-filled arterial line; pulse pressure is the sensitive readout, because it is proportional to gain but independent of offset.</w:t>
      </w:r>
    </w:p>
    <w:p>
      <w:pPr>
        <w:pStyle w:val="Heading2"/>
      </w:pPr>
      <w:r>
        <w:rPr>
          <w:rFonts w:ascii="Times New Roman" w:hAnsi="Times New Roman"/>
          <w:color w:val="000000"/>
        </w:rPr>
        <w:t>4.3. Implications for sensor design</w:t>
      </w:r>
    </w:p>
    <w:p>
      <w:pPr>
        <w:spacing w:after="120"/>
      </w:pPr>
      <w:r>
        <w:rPr>
          <w:rFonts w:ascii="Times New Roman" w:hAnsi="Times New Roman"/>
          <w:b w:val="0"/>
          <w:i w:val="0"/>
          <w:sz w:val="24"/>
        </w:rPr>
        <w:t xml:space="preserve">The offset that zeroing corrects can also be removed by design. Catheter-tip micro-electro-mechanical systems (MEMS) sensors abolish the hydrostatic column </w:t>
      </w:r>
      <w:r>
        <w:rPr>
          <w:rFonts w:ascii="Times New Roman" w:hAnsi="Times New Roman"/>
          <w:b w:val="0"/>
          <w:i w:val="0"/>
          <w:sz w:val="24"/>
          <w:vertAlign w:val="superscript"/>
        </w:rPr>
        <w:t>23–24</w:t>
      </w:r>
      <w:r>
        <w:rPr>
          <w:rFonts w:ascii="Times New Roman" w:hAnsi="Times New Roman"/>
          <w:b w:val="0"/>
          <w:i w:val="0"/>
          <w:sz w:val="24"/>
        </w:rPr>
        <w:t xml:space="preserve">; absolute sensors with barometric compensation remove the atmospheric reference; and self-calibrating MEMS references limit drift </w:t>
      </w:r>
      <w:r>
        <w:rPr>
          <w:rFonts w:ascii="Times New Roman" w:hAnsi="Times New Roman"/>
          <w:b w:val="0"/>
          <w:i w:val="0"/>
          <w:sz w:val="24"/>
          <w:vertAlign w:val="superscript"/>
        </w:rPr>
        <w:t>25</w:t>
      </w:r>
      <w:r>
        <w:rPr>
          <w:rFonts w:ascii="Times New Roman" w:hAnsi="Times New Roman"/>
          <w:b w:val="0"/>
          <w:i w:val="0"/>
          <w:sz w:val="24"/>
        </w:rPr>
        <w:t xml:space="preserve">. High-fidelity pressure wires already demonstrate accurate catheter-based pressure measurement </w:t>
      </w:r>
      <w:r>
        <w:rPr>
          <w:rFonts w:ascii="Times New Roman" w:hAnsi="Times New Roman"/>
          <w:b w:val="0"/>
          <w:i w:val="0"/>
          <w:sz w:val="24"/>
          <w:vertAlign w:val="superscript"/>
        </w:rPr>
        <w:t>26</w:t>
      </w:r>
      <w:r>
        <w:rPr>
          <w:rFonts w:ascii="Times New Roman" w:hAnsi="Times New Roman"/>
          <w:b w:val="0"/>
          <w:i w:val="0"/>
          <w:sz w:val="24"/>
        </w:rPr>
        <w:t xml:space="preserve">. With offset removed by design and gain verified by accurate PP reproduction, the residual systematic error is expressed entirely in v, giving a concrete design target (v ≈ 1, C_b ≥ 0.99 without calibration) </w:t>
      </w:r>
      <w:r>
        <w:rPr>
          <w:rFonts w:ascii="Times New Roman" w:hAnsi="Times New Roman"/>
          <w:b w:val="0"/>
          <w:i w:val="0"/>
          <w:sz w:val="24"/>
          <w:vertAlign w:val="superscript"/>
        </w:rPr>
        <w:t>17</w:t>
      </w:r>
      <w:r>
        <w:rPr>
          <w:rFonts w:ascii="Times New Roman" w:hAnsi="Times New Roman"/>
          <w:b w:val="0"/>
          <w:i w:val="0"/>
          <w:sz w:val="24"/>
        </w:rPr>
        <w:t xml:space="preserve">. Modern piezoresistive MEMS sensors achieve non-linearity well below 0.1% of full scale </w:t>
      </w:r>
      <w:r>
        <w:rPr>
          <w:rFonts w:ascii="Times New Roman" w:hAnsi="Times New Roman"/>
          <w:b w:val="0"/>
          <w:i w:val="0"/>
          <w:sz w:val="24"/>
          <w:vertAlign w:val="superscript"/>
        </w:rPr>
        <w:t>27</w:t>
      </w:r>
      <w:r>
        <w:rPr>
          <w:rFonts w:ascii="Times New Roman" w:hAnsi="Times New Roman"/>
          <w:b w:val="0"/>
          <w:i w:val="0"/>
          <w:sz w:val="24"/>
        </w:rPr>
        <w:t>, supporting the assumption that gain verified over the pulsatile range generalises across the physiological range.</w:t>
      </w:r>
    </w:p>
    <w:p>
      <w:pPr>
        <w:pStyle w:val="Heading2"/>
      </w:pPr>
      <w:r>
        <w:rPr>
          <w:rFonts w:ascii="Times New Roman" w:hAnsi="Times New Roman"/>
          <w:color w:val="000000"/>
        </w:rPr>
        <w:t>4.4. Extension to derived haemodynamic monitors</w:t>
      </w:r>
    </w:p>
    <w:p>
      <w:pPr>
        <w:spacing w:after="120"/>
      </w:pPr>
      <w:r>
        <w:rPr>
          <w:rFonts w:ascii="Times New Roman" w:hAnsi="Times New Roman"/>
          <w:b w:val="0"/>
          <w:i w:val="0"/>
          <w:sz w:val="24"/>
        </w:rPr>
        <w:t xml:space="preserve">The offset-versus-gain distinction extends to derived monitors whose auto-calibration routines re-optimise a setpoint—an offset correction—without correcting the gain of the pressure- or impedance-to-flow conversion </w:t>
      </w:r>
      <w:r>
        <w:rPr>
          <w:rFonts w:ascii="Times New Roman" w:hAnsi="Times New Roman"/>
          <w:b w:val="0"/>
          <w:i w:val="0"/>
          <w:sz w:val="24"/>
          <w:vertAlign w:val="superscript"/>
        </w:rPr>
        <w:t>28–31</w:t>
      </w:r>
      <w:r>
        <w:rPr>
          <w:rFonts w:ascii="Times New Roman" w:hAnsi="Times New Roman"/>
          <w:b w:val="0"/>
          <w:i w:val="0"/>
          <w:sz w:val="24"/>
        </w:rPr>
        <w:t>. Reporting the scale shift v for these devices would make their dependence on calibration explicit.</w:t>
      </w:r>
    </w:p>
    <w:p>
      <w:pPr>
        <w:pStyle w:val="Heading2"/>
      </w:pPr>
      <w:r>
        <w:rPr>
          <w:rFonts w:ascii="Times New Roman" w:hAnsi="Times New Roman"/>
          <w:color w:val="000000"/>
        </w:rPr>
        <w:t>4.5. Limitations</w:t>
      </w:r>
    </w:p>
    <w:p>
      <w:pPr>
        <w:spacing w:after="120"/>
      </w:pPr>
      <w:r>
        <w:rPr>
          <w:rFonts w:ascii="Times New Roman" w:hAnsi="Times New Roman"/>
          <w:b w:val="0"/>
          <w:i w:val="0"/>
          <w:sz w:val="24"/>
        </w:rPr>
        <w:t xml:space="preserve">This is a simulation study; the data are synthetic and chosen to isolate specific error structures, and they are not a substitute for a prospective clinical comparison against an invasive reference of stated precision </w:t>
      </w:r>
      <w:r>
        <w:rPr>
          <w:rFonts w:ascii="Times New Roman" w:hAnsi="Times New Roman"/>
          <w:b w:val="0"/>
          <w:i w:val="0"/>
          <w:sz w:val="24"/>
          <w:vertAlign w:val="superscript"/>
        </w:rPr>
        <w:t>9</w:t>
      </w:r>
      <w:r>
        <w:rPr>
          <w:rFonts w:ascii="Times New Roman" w:hAnsi="Times New Roman"/>
          <w:b w:val="0"/>
          <w:i w:val="0"/>
          <w:sz w:val="24"/>
        </w:rPr>
        <w:t>. The static model assumes sensor linearity, and the dynamic model is a single second-order approximation. The value of the work is to make explicit, and reproducibly quantify, which reported analyses detect a residual gain error—a prelude to, not a replacement for, empirical validation.</w:t>
      </w:r>
    </w:p>
    <w:p>
      <w:pPr>
        <w:pStyle w:val="Heading1"/>
      </w:pPr>
      <w:r>
        <w:rPr>
          <w:rFonts w:ascii="Times New Roman" w:hAnsi="Times New Roman"/>
          <w:color w:val="000000"/>
        </w:rPr>
        <w:t>5. Conclusion</w:t>
      </w:r>
    </w:p>
    <w:p>
      <w:pPr>
        <w:spacing w:after="120"/>
      </w:pPr>
      <w:r>
        <w:rPr>
          <w:rFonts w:ascii="Times New Roman" w:hAnsi="Times New Roman"/>
          <w:b w:val="0"/>
          <w:i w:val="0"/>
          <w:sz w:val="24"/>
        </w:rPr>
        <w:t>Zero calibration corrects offset but not gain. A mean-bias–plus–limits-of-agreement summary can miss a residual gain error when an offset masks it, whereas Bland–Altman regression, Deming and Passing–Bablok regression, and the CCC scale shift detect it. Dynamic-response error is a distinct, frequency-dependent gain error diagnosed by the fast-flush test. We recommend that arterial pressure validation studies report a proportional-bias–aware analysis, the CCC decomposition with the sampled range, and an explicit dynamic-response check.</w:t>
      </w:r>
    </w:p>
    <w:p>
      <w:pPr>
        <w:pStyle w:val="Heading1"/>
      </w:pPr>
      <w:r>
        <w:rPr>
          <w:rFonts w:ascii="Times New Roman" w:hAnsi="Times New Roman"/>
          <w:color w:val="000000"/>
        </w:rPr>
        <w:t>Conflicts of interest</w:t>
      </w:r>
    </w:p>
    <w:p>
      <w:pPr>
        <w:spacing w:after="120"/>
      </w:pPr>
      <w:r>
        <w:rPr>
          <w:rFonts w:ascii="Times New Roman" w:hAnsi="Times New Roman"/>
          <w:b w:val="0"/>
          <w:i w:val="0"/>
          <w:sz w:val="24"/>
        </w:rPr>
        <w:t>[To be completed by authors]</w:t>
      </w:r>
    </w:p>
    <w:p>
      <w:pPr>
        <w:pStyle w:val="Heading1"/>
      </w:pPr>
      <w:r>
        <w:rPr>
          <w:rFonts w:ascii="Times New Roman" w:hAnsi="Times New Roman"/>
          <w:color w:val="000000"/>
        </w:rPr>
        <w:t>Funding</w:t>
      </w:r>
    </w:p>
    <w:p>
      <w:pPr>
        <w:spacing w:after="120"/>
      </w:pPr>
      <w:r>
        <w:rPr>
          <w:rFonts w:ascii="Times New Roman" w:hAnsi="Times New Roman"/>
          <w:b w:val="0"/>
          <w:i w:val="0"/>
          <w:sz w:val="24"/>
        </w:rPr>
        <w:t>[To be completed by authors]</w:t>
      </w:r>
    </w:p>
    <w:p>
      <w:pPr>
        <w:pStyle w:val="Heading1"/>
      </w:pPr>
      <w:r>
        <w:rPr>
          <w:rFonts w:ascii="Times New Roman" w:hAnsi="Times New Roman"/>
          <w:color w:val="000000"/>
        </w:rPr>
        <w:t>Data availability</w:t>
      </w:r>
    </w:p>
    <w:p>
      <w:pPr>
        <w:spacing w:after="120"/>
      </w:pPr>
      <w:r>
        <w:rPr>
          <w:rFonts w:ascii="Times New Roman" w:hAnsi="Times New Roman"/>
          <w:b w:val="0"/>
          <w:i w:val="0"/>
          <w:sz w:val="24"/>
        </w:rPr>
        <w:t>All simulation code and generated data are openly available in the public replication repository (https://github.com/bougtoir/bpm-zero-calibration). Every number, table and figure in this article can be regenerated from a clean clone by running the analysis pipeline.</w:t>
      </w:r>
    </w:p>
    <w:p>
      <w:r>
        <w:br w:type="page"/>
      </w:r>
    </w:p>
    <w:p>
      <w:pPr>
        <w:pStyle w:val="Heading1"/>
      </w:pPr>
      <w:r>
        <w:rPr>
          <w:rFonts w:ascii="Times New Roman" w:hAnsi="Times New Roman"/>
          <w:color w:val="000000"/>
        </w:rPr>
        <w:t>Table 1</w:t>
      </w:r>
    </w:p>
    <w:p>
      <w:pPr>
        <w:spacing w:after="120"/>
      </w:pPr>
      <w:r>
        <w:rPr>
          <w:rFonts w:ascii="Times New Roman" w:hAnsi="Times New Roman"/>
          <w:b/>
          <w:i/>
          <w:sz w:val="24"/>
        </w:rPr>
        <w:t>Table 1. Method-comparison metrics for the four static scenarios (n = 150 paired measurements each).</w:t>
      </w:r>
    </w:p>
    <w:tbl>
      <w:tblPr>
        <w:tblStyle w:val="LightGrid-Accent1"/>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rFonts w:ascii="Times New Roman" w:hAnsi="Times New Roman"/>
                <w:b/>
                <w:sz w:val="16"/>
              </w:rPr>
              <w:t>Scenario</w:t>
            </w:r>
          </w:p>
        </w:tc>
        <w:tc>
          <w:tcPr>
            <w:tcW w:type="dxa" w:w="936"/>
          </w:tcPr>
          <w:p>
            <w:r>
              <w:rPr>
                <w:rFonts w:ascii="Times New Roman" w:hAnsi="Times New Roman"/>
                <w:b/>
                <w:sz w:val="16"/>
              </w:rPr>
              <w:t>Mean bias</w:t>
              <w:br/>
              <w:t>(mmHg)</w:t>
            </w:r>
          </w:p>
        </w:tc>
        <w:tc>
          <w:tcPr>
            <w:tcW w:type="dxa" w:w="936"/>
          </w:tcPr>
          <w:p>
            <w:r>
              <w:rPr>
                <w:rFonts w:ascii="Times New Roman" w:hAnsi="Times New Roman"/>
                <w:b/>
                <w:sz w:val="16"/>
              </w:rPr>
              <w:t>95% LoA</w:t>
              <w:br/>
              <w:t>(mmHg)</w:t>
            </w:r>
          </w:p>
        </w:tc>
        <w:tc>
          <w:tcPr>
            <w:tcW w:type="dxa" w:w="936"/>
          </w:tcPr>
          <w:p>
            <w:r>
              <w:rPr>
                <w:rFonts w:ascii="Times New Roman" w:hAnsi="Times New Roman"/>
                <w:b/>
                <w:sz w:val="16"/>
              </w:rPr>
              <w:t>PE (%)</w:t>
            </w:r>
          </w:p>
        </w:tc>
        <w:tc>
          <w:tcPr>
            <w:tcW w:type="dxa" w:w="936"/>
          </w:tcPr>
          <w:p>
            <w:r>
              <w:rPr>
                <w:rFonts w:ascii="Times New Roman" w:hAnsi="Times New Roman"/>
                <w:b/>
                <w:sz w:val="16"/>
              </w:rPr>
              <w:t>BA reg. slope</w:t>
              <w:br/>
              <w:t>(95% CI)</w:t>
            </w:r>
          </w:p>
        </w:tc>
        <w:tc>
          <w:tcPr>
            <w:tcW w:type="dxa" w:w="936"/>
          </w:tcPr>
          <w:p>
            <w:r>
              <w:rPr>
                <w:rFonts w:ascii="Times New Roman" w:hAnsi="Times New Roman"/>
                <w:b/>
                <w:sz w:val="16"/>
              </w:rPr>
              <w:t>Deming slope</w:t>
              <w:br/>
              <w:t>(95% CI)</w:t>
            </w:r>
          </w:p>
        </w:tc>
        <w:tc>
          <w:tcPr>
            <w:tcW w:type="dxa" w:w="936"/>
          </w:tcPr>
          <w:p>
            <w:r>
              <w:rPr>
                <w:rFonts w:ascii="Times New Roman" w:hAnsi="Times New Roman"/>
                <w:b/>
                <w:sz w:val="16"/>
              </w:rPr>
              <w:t>P–B slope</w:t>
              <w:br/>
              <w:t>(95% CI)</w:t>
            </w:r>
          </w:p>
        </w:tc>
        <w:tc>
          <w:tcPr>
            <w:tcW w:type="dxa" w:w="936"/>
          </w:tcPr>
          <w:p>
            <w:r>
              <w:rPr>
                <w:rFonts w:ascii="Times New Roman" w:hAnsi="Times New Roman"/>
                <w:b/>
                <w:sz w:val="16"/>
              </w:rPr>
              <w:t>CCC</w:t>
            </w:r>
          </w:p>
        </w:tc>
        <w:tc>
          <w:tcPr>
            <w:tcW w:type="dxa" w:w="936"/>
          </w:tcPr>
          <w:p>
            <w:r>
              <w:rPr>
                <w:rFonts w:ascii="Times New Roman" w:hAnsi="Times New Roman"/>
                <w:b/>
                <w:sz w:val="16"/>
              </w:rPr>
              <w:t>C_b</w:t>
            </w:r>
          </w:p>
        </w:tc>
        <w:tc>
          <w:tcPr>
            <w:tcW w:type="dxa" w:w="936"/>
          </w:tcPr>
          <w:p>
            <w:r>
              <w:rPr>
                <w:rFonts w:ascii="Times New Roman" w:hAnsi="Times New Roman"/>
                <w:b/>
                <w:sz w:val="16"/>
              </w:rPr>
              <w:t>v</w:t>
            </w:r>
          </w:p>
        </w:tc>
      </w:tr>
      <w:tr>
        <w:tc>
          <w:tcPr>
            <w:tcW w:type="dxa" w:w="936"/>
          </w:tcPr>
          <w:p>
            <w:r>
              <w:rPr>
                <w:rFonts w:ascii="Times New Roman" w:hAnsi="Times New Roman"/>
                <w:sz w:val="16"/>
              </w:rPr>
              <w:t>S1 offset only</w:t>
            </w:r>
          </w:p>
        </w:tc>
        <w:tc>
          <w:tcPr>
            <w:tcW w:type="dxa" w:w="936"/>
          </w:tcPr>
          <w:p>
            <w:r>
              <w:rPr>
                <w:rFonts w:ascii="Times New Roman" w:hAnsi="Times New Roman"/>
                <w:sz w:val="16"/>
              </w:rPr>
              <w:t>+11.9</w:t>
            </w:r>
          </w:p>
        </w:tc>
        <w:tc>
          <w:tcPr>
            <w:tcW w:type="dxa" w:w="936"/>
          </w:tcPr>
          <w:p>
            <w:r>
              <w:rPr>
                <w:rFonts w:ascii="Times New Roman" w:hAnsi="Times New Roman"/>
                <w:sz w:val="16"/>
              </w:rPr>
              <w:t>5.6 to 18.2</w:t>
            </w:r>
          </w:p>
        </w:tc>
        <w:tc>
          <w:tcPr>
            <w:tcW w:type="dxa" w:w="936"/>
          </w:tcPr>
          <w:p>
            <w:r>
              <w:rPr>
                <w:rFonts w:ascii="Times New Roman" w:hAnsi="Times New Roman"/>
                <w:sz w:val="16"/>
              </w:rPr>
              <w:t>4.6</w:t>
            </w:r>
          </w:p>
        </w:tc>
        <w:tc>
          <w:tcPr>
            <w:tcW w:type="dxa" w:w="936"/>
          </w:tcPr>
          <w:p>
            <w:r>
              <w:rPr>
                <w:rFonts w:ascii="Times New Roman" w:hAnsi="Times New Roman"/>
                <w:sz w:val="16"/>
              </w:rPr>
              <w:t>0.010</w:t>
              <w:br/>
              <w:t>(-0.007, 0.028)</w:t>
            </w:r>
          </w:p>
        </w:tc>
        <w:tc>
          <w:tcPr>
            <w:tcW w:type="dxa" w:w="936"/>
          </w:tcPr>
          <w:p>
            <w:r>
              <w:rPr>
                <w:rFonts w:ascii="Times New Roman" w:hAnsi="Times New Roman"/>
                <w:sz w:val="16"/>
              </w:rPr>
              <w:t>1.010</w:t>
              <w:br/>
              <w:t>(0.993, 1.028)</w:t>
            </w:r>
          </w:p>
        </w:tc>
        <w:tc>
          <w:tcPr>
            <w:tcW w:type="dxa" w:w="936"/>
          </w:tcPr>
          <w:p>
            <w:r>
              <w:rPr>
                <w:rFonts w:ascii="Times New Roman" w:hAnsi="Times New Roman"/>
                <w:sz w:val="16"/>
              </w:rPr>
              <w:t>1.010</w:t>
              <w:br/>
              <w:t>(0.990, 1.029)</w:t>
            </w:r>
          </w:p>
        </w:tc>
        <w:tc>
          <w:tcPr>
            <w:tcW w:type="dxa" w:w="936"/>
          </w:tcPr>
          <w:p>
            <w:r>
              <w:rPr>
                <w:rFonts w:ascii="Times New Roman" w:hAnsi="Times New Roman"/>
                <w:sz w:val="16"/>
              </w:rPr>
              <w:t>0.921</w:t>
            </w:r>
          </w:p>
        </w:tc>
        <w:tc>
          <w:tcPr>
            <w:tcW w:type="dxa" w:w="936"/>
          </w:tcPr>
          <w:p>
            <w:r>
              <w:rPr>
                <w:rFonts w:ascii="Times New Roman" w:hAnsi="Times New Roman"/>
                <w:sz w:val="16"/>
              </w:rPr>
              <w:t>0.926</w:t>
            </w:r>
          </w:p>
        </w:tc>
        <w:tc>
          <w:tcPr>
            <w:tcW w:type="dxa" w:w="936"/>
          </w:tcPr>
          <w:p>
            <w:r>
              <w:rPr>
                <w:rFonts w:ascii="Times New Roman" w:hAnsi="Times New Roman"/>
                <w:sz w:val="16"/>
              </w:rPr>
              <w:t>1.010</w:t>
            </w:r>
          </w:p>
        </w:tc>
      </w:tr>
      <w:tr>
        <w:tc>
          <w:tcPr>
            <w:tcW w:type="dxa" w:w="936"/>
          </w:tcPr>
          <w:p>
            <w:r>
              <w:rPr>
                <w:rFonts w:ascii="Times New Roman" w:hAnsi="Times New Roman"/>
                <w:sz w:val="16"/>
              </w:rPr>
              <w:t>S2 zeroed (ideal)</w:t>
            </w:r>
          </w:p>
        </w:tc>
        <w:tc>
          <w:tcPr>
            <w:tcW w:type="dxa" w:w="936"/>
          </w:tcPr>
          <w:p>
            <w:r>
              <w:rPr>
                <w:rFonts w:ascii="Times New Roman" w:hAnsi="Times New Roman"/>
                <w:sz w:val="16"/>
              </w:rPr>
              <w:t>+0.1</w:t>
            </w:r>
          </w:p>
        </w:tc>
        <w:tc>
          <w:tcPr>
            <w:tcW w:type="dxa" w:w="936"/>
          </w:tcPr>
          <w:p>
            <w:r>
              <w:rPr>
                <w:rFonts w:ascii="Times New Roman" w:hAnsi="Times New Roman"/>
                <w:sz w:val="16"/>
              </w:rPr>
              <w:t>-5.4 to 5.5</w:t>
            </w:r>
          </w:p>
        </w:tc>
        <w:tc>
          <w:tcPr>
            <w:tcW w:type="dxa" w:w="936"/>
          </w:tcPr>
          <w:p>
            <w:r>
              <w:rPr>
                <w:rFonts w:ascii="Times New Roman" w:hAnsi="Times New Roman"/>
                <w:sz w:val="16"/>
              </w:rPr>
              <w:t>4.2</w:t>
            </w:r>
          </w:p>
        </w:tc>
        <w:tc>
          <w:tcPr>
            <w:tcW w:type="dxa" w:w="936"/>
          </w:tcPr>
          <w:p>
            <w:r>
              <w:rPr>
                <w:rFonts w:ascii="Times New Roman" w:hAnsi="Times New Roman"/>
                <w:sz w:val="16"/>
              </w:rPr>
              <w:t>-0.010</w:t>
              <w:br/>
              <w:t>(-0.025, 0.006)</w:t>
            </w:r>
          </w:p>
        </w:tc>
        <w:tc>
          <w:tcPr>
            <w:tcW w:type="dxa" w:w="936"/>
          </w:tcPr>
          <w:p>
            <w:r>
              <w:rPr>
                <w:rFonts w:ascii="Times New Roman" w:hAnsi="Times New Roman"/>
                <w:sz w:val="16"/>
              </w:rPr>
              <w:t>0.990</w:t>
              <w:br/>
              <w:t>(0.975, 1.006)</w:t>
            </w:r>
          </w:p>
        </w:tc>
        <w:tc>
          <w:tcPr>
            <w:tcW w:type="dxa" w:w="936"/>
          </w:tcPr>
          <w:p>
            <w:r>
              <w:rPr>
                <w:rFonts w:ascii="Times New Roman" w:hAnsi="Times New Roman"/>
                <w:sz w:val="16"/>
              </w:rPr>
              <w:t>0.985</w:t>
              <w:br/>
              <w:t>(0.971, 1.001)</w:t>
            </w:r>
          </w:p>
        </w:tc>
        <w:tc>
          <w:tcPr>
            <w:tcW w:type="dxa" w:w="936"/>
          </w:tcPr>
          <w:p>
            <w:r>
              <w:rPr>
                <w:rFonts w:ascii="Times New Roman" w:hAnsi="Times New Roman"/>
                <w:sz w:val="16"/>
              </w:rPr>
              <w:t>0.995</w:t>
            </w:r>
          </w:p>
        </w:tc>
        <w:tc>
          <w:tcPr>
            <w:tcW w:type="dxa" w:w="936"/>
          </w:tcPr>
          <w:p>
            <w:r>
              <w:rPr>
                <w:rFonts w:ascii="Times New Roman" w:hAnsi="Times New Roman"/>
                <w:sz w:val="16"/>
              </w:rPr>
              <w:t>1.000</w:t>
            </w:r>
          </w:p>
        </w:tc>
        <w:tc>
          <w:tcPr>
            <w:tcW w:type="dxa" w:w="936"/>
          </w:tcPr>
          <w:p>
            <w:r>
              <w:rPr>
                <w:rFonts w:ascii="Times New Roman" w:hAnsi="Times New Roman"/>
                <w:sz w:val="16"/>
              </w:rPr>
              <w:t>0.990</w:t>
            </w:r>
          </w:p>
        </w:tc>
      </w:tr>
      <w:tr>
        <w:tc>
          <w:tcPr>
            <w:tcW w:type="dxa" w:w="936"/>
          </w:tcPr>
          <w:p>
            <w:r>
              <w:rPr>
                <w:rFonts w:ascii="Times New Roman" w:hAnsi="Times New Roman"/>
                <w:sz w:val="16"/>
              </w:rPr>
              <w:t>S3 gain error</w:t>
            </w:r>
          </w:p>
        </w:tc>
        <w:tc>
          <w:tcPr>
            <w:tcW w:type="dxa" w:w="936"/>
          </w:tcPr>
          <w:p>
            <w:r>
              <w:rPr>
                <w:rFonts w:ascii="Times New Roman" w:hAnsi="Times New Roman"/>
                <w:sz w:val="16"/>
              </w:rPr>
              <w:t>+12.7</w:t>
            </w:r>
          </w:p>
        </w:tc>
        <w:tc>
          <w:tcPr>
            <w:tcW w:type="dxa" w:w="936"/>
          </w:tcPr>
          <w:p>
            <w:r>
              <w:rPr>
                <w:rFonts w:ascii="Times New Roman" w:hAnsi="Times New Roman"/>
                <w:sz w:val="16"/>
              </w:rPr>
              <w:t>4.7 to 20.7</w:t>
            </w:r>
          </w:p>
        </w:tc>
        <w:tc>
          <w:tcPr>
            <w:tcW w:type="dxa" w:w="936"/>
          </w:tcPr>
          <w:p>
            <w:r>
              <w:rPr>
                <w:rFonts w:ascii="Times New Roman" w:hAnsi="Times New Roman"/>
                <w:sz w:val="16"/>
              </w:rPr>
              <w:t>5.9</w:t>
            </w:r>
          </w:p>
        </w:tc>
        <w:tc>
          <w:tcPr>
            <w:tcW w:type="dxa" w:w="936"/>
          </w:tcPr>
          <w:p>
            <w:r>
              <w:rPr>
                <w:rFonts w:ascii="Times New Roman" w:hAnsi="Times New Roman"/>
                <w:sz w:val="16"/>
              </w:rPr>
              <w:t>0.094</w:t>
              <w:br/>
              <w:t>(0.080, 0.109)</w:t>
            </w:r>
          </w:p>
        </w:tc>
        <w:tc>
          <w:tcPr>
            <w:tcW w:type="dxa" w:w="936"/>
          </w:tcPr>
          <w:p>
            <w:r>
              <w:rPr>
                <w:rFonts w:ascii="Times New Roman" w:hAnsi="Times New Roman"/>
                <w:sz w:val="16"/>
              </w:rPr>
              <w:t>1.099</w:t>
              <w:br/>
              <w:t>(1.082, 1.117)</w:t>
            </w:r>
          </w:p>
        </w:tc>
        <w:tc>
          <w:tcPr>
            <w:tcW w:type="dxa" w:w="936"/>
          </w:tcPr>
          <w:p>
            <w:r>
              <w:rPr>
                <w:rFonts w:ascii="Times New Roman" w:hAnsi="Times New Roman"/>
                <w:sz w:val="16"/>
              </w:rPr>
              <w:t>1.100</w:t>
              <w:br/>
              <w:t>(1.081, 1.117)</w:t>
            </w:r>
          </w:p>
        </w:tc>
        <w:tc>
          <w:tcPr>
            <w:tcW w:type="dxa" w:w="936"/>
          </w:tcPr>
          <w:p>
            <w:r>
              <w:rPr>
                <w:rFonts w:ascii="Times New Roman" w:hAnsi="Times New Roman"/>
                <w:sz w:val="16"/>
              </w:rPr>
              <w:t>0.915</w:t>
            </w:r>
          </w:p>
        </w:tc>
        <w:tc>
          <w:tcPr>
            <w:tcW w:type="dxa" w:w="936"/>
          </w:tcPr>
          <w:p>
            <w:r>
              <w:rPr>
                <w:rFonts w:ascii="Times New Roman" w:hAnsi="Times New Roman"/>
                <w:sz w:val="16"/>
              </w:rPr>
              <w:t>0.919</w:t>
            </w:r>
          </w:p>
        </w:tc>
        <w:tc>
          <w:tcPr>
            <w:tcW w:type="dxa" w:w="936"/>
          </w:tcPr>
          <w:p>
            <w:r>
              <w:rPr>
                <w:rFonts w:ascii="Times New Roman" w:hAnsi="Times New Roman"/>
                <w:sz w:val="16"/>
              </w:rPr>
              <w:t>1.099</w:t>
            </w:r>
          </w:p>
        </w:tc>
      </w:tr>
      <w:tr>
        <w:tc>
          <w:tcPr>
            <w:tcW w:type="dxa" w:w="936"/>
          </w:tcPr>
          <w:p>
            <w:r>
              <w:rPr>
                <w:rFonts w:ascii="Times New Roman" w:hAnsi="Times New Roman"/>
                <w:sz w:val="16"/>
              </w:rPr>
              <w:t>S4 gain masked</w:t>
            </w:r>
          </w:p>
        </w:tc>
        <w:tc>
          <w:tcPr>
            <w:tcW w:type="dxa" w:w="936"/>
          </w:tcPr>
          <w:p>
            <w:r>
              <w:rPr>
                <w:rFonts w:ascii="Times New Roman" w:hAnsi="Times New Roman"/>
                <w:sz w:val="16"/>
              </w:rPr>
              <w:t>+0.3</w:t>
            </w:r>
          </w:p>
        </w:tc>
        <w:tc>
          <w:tcPr>
            <w:tcW w:type="dxa" w:w="936"/>
          </w:tcPr>
          <w:p>
            <w:r>
              <w:rPr>
                <w:rFonts w:ascii="Times New Roman" w:hAnsi="Times New Roman"/>
                <w:sz w:val="16"/>
              </w:rPr>
              <w:t>-8.4 to 8.9</w:t>
            </w:r>
          </w:p>
        </w:tc>
        <w:tc>
          <w:tcPr>
            <w:tcW w:type="dxa" w:w="936"/>
          </w:tcPr>
          <w:p>
            <w:r>
              <w:rPr>
                <w:rFonts w:ascii="Times New Roman" w:hAnsi="Times New Roman"/>
                <w:sz w:val="16"/>
              </w:rPr>
              <w:t>6.7</w:t>
            </w:r>
          </w:p>
        </w:tc>
        <w:tc>
          <w:tcPr>
            <w:tcW w:type="dxa" w:w="936"/>
          </w:tcPr>
          <w:p>
            <w:r>
              <w:rPr>
                <w:rFonts w:ascii="Times New Roman" w:hAnsi="Times New Roman"/>
                <w:sz w:val="16"/>
              </w:rPr>
              <w:t>0.103</w:t>
              <w:br/>
              <w:t>(0.087, 0.119)</w:t>
            </w:r>
          </w:p>
        </w:tc>
        <w:tc>
          <w:tcPr>
            <w:tcW w:type="dxa" w:w="936"/>
          </w:tcPr>
          <w:p>
            <w:r>
              <w:rPr>
                <w:rFonts w:ascii="Times New Roman" w:hAnsi="Times New Roman"/>
                <w:sz w:val="16"/>
              </w:rPr>
              <w:t>1.109</w:t>
              <w:br/>
              <w:t>(1.091, 1.126)</w:t>
            </w:r>
          </w:p>
        </w:tc>
        <w:tc>
          <w:tcPr>
            <w:tcW w:type="dxa" w:w="936"/>
          </w:tcPr>
          <w:p>
            <w:r>
              <w:rPr>
                <w:rFonts w:ascii="Times New Roman" w:hAnsi="Times New Roman"/>
                <w:sz w:val="16"/>
              </w:rPr>
              <w:t>1.111</w:t>
              <w:br/>
              <w:t>(1.092, 1.130)</w:t>
            </w:r>
          </w:p>
        </w:tc>
        <w:tc>
          <w:tcPr>
            <w:tcW w:type="dxa" w:w="936"/>
          </w:tcPr>
          <w:p>
            <w:r>
              <w:rPr>
                <w:rFonts w:ascii="Times New Roman" w:hAnsi="Times New Roman"/>
                <w:sz w:val="16"/>
              </w:rPr>
              <w:t>0.990</w:t>
            </w:r>
          </w:p>
        </w:tc>
        <w:tc>
          <w:tcPr>
            <w:tcW w:type="dxa" w:w="936"/>
          </w:tcPr>
          <w:p>
            <w:r>
              <w:rPr>
                <w:rFonts w:ascii="Times New Roman" w:hAnsi="Times New Roman"/>
                <w:sz w:val="16"/>
              </w:rPr>
              <w:t>0.995</w:t>
            </w:r>
          </w:p>
        </w:tc>
        <w:tc>
          <w:tcPr>
            <w:tcW w:type="dxa" w:w="936"/>
          </w:tcPr>
          <w:p>
            <w:r>
              <w:rPr>
                <w:rFonts w:ascii="Times New Roman" w:hAnsi="Times New Roman"/>
                <w:sz w:val="16"/>
              </w:rPr>
              <w:t>1.108</w:t>
            </w:r>
          </w:p>
        </w:tc>
      </w:tr>
    </w:tbl>
    <w:p>
      <w:pPr>
        <w:spacing w:after="120"/>
      </w:pPr>
      <w:r>
        <w:rPr>
          <w:rFonts w:ascii="Times New Roman" w:hAnsi="Times New Roman"/>
          <w:b w:val="0"/>
          <w:i/>
          <w:sz w:val="24"/>
        </w:rPr>
        <w:t>BA = Bland–Altman; CI = confidence interval; LoA = limits of agreement; PE = percentage error; P–B = Passing–Bablok; CCC = concordance correlation coefficient; C_b = bias-correction factor; v = scale shift. S4 has a near-zero mean bias yet a clearly non-zero regression / Deming / Passing–Bablok slope and v &gt; 1, i.e. a gain error hidden from the mean-bias summary.</w:t>
      </w:r>
    </w:p>
    <w:p>
      <w:r>
        <w:br w:type="page"/>
      </w:r>
    </w:p>
    <w:p>
      <w:pPr>
        <w:pStyle w:val="Heading1"/>
      </w:pPr>
      <w:r>
        <w:rPr>
          <w:rFonts w:ascii="Times New Roman" w:hAnsi="Times New Roman"/>
          <w:color w:val="000000"/>
        </w:rPr>
        <w:t>Table 2</w:t>
      </w:r>
    </w:p>
    <w:p>
      <w:pPr>
        <w:spacing w:after="120"/>
      </w:pPr>
      <w:r>
        <w:rPr>
          <w:rFonts w:ascii="Times New Roman" w:hAnsi="Times New Roman"/>
          <w:b/>
          <w:i/>
          <w:sz w:val="24"/>
        </w:rPr>
        <w:t>Table 2. Dynamic-response metrics for pulse pressure (PP) and systolic pressure (SBP).</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6"/>
              </w:rPr>
              <w:t>System (f_n, ζ)</w:t>
            </w:r>
          </w:p>
        </w:tc>
        <w:tc>
          <w:tcPr>
            <w:tcW w:type="dxa" w:w="1560"/>
          </w:tcPr>
          <w:p>
            <w:r>
              <w:rPr>
                <w:rFonts w:ascii="Times New Roman" w:hAnsi="Times New Roman"/>
                <w:b/>
                <w:sz w:val="16"/>
              </w:rPr>
              <w:t>PP ratio</w:t>
            </w:r>
          </w:p>
        </w:tc>
        <w:tc>
          <w:tcPr>
            <w:tcW w:type="dxa" w:w="1560"/>
          </w:tcPr>
          <w:p>
            <w:r>
              <w:rPr>
                <w:rFonts w:ascii="Times New Roman" w:hAnsi="Times New Roman"/>
                <w:b/>
                <w:sz w:val="16"/>
              </w:rPr>
              <w:t>PP mean bias</w:t>
              <w:br/>
              <w:t>(mmHg)</w:t>
            </w:r>
          </w:p>
        </w:tc>
        <w:tc>
          <w:tcPr>
            <w:tcW w:type="dxa" w:w="1560"/>
          </w:tcPr>
          <w:p>
            <w:r>
              <w:rPr>
                <w:rFonts w:ascii="Times New Roman" w:hAnsi="Times New Roman"/>
                <w:b/>
                <w:sz w:val="16"/>
              </w:rPr>
              <w:t>CCC (PP)</w:t>
            </w:r>
          </w:p>
        </w:tc>
        <w:tc>
          <w:tcPr>
            <w:tcW w:type="dxa" w:w="1560"/>
          </w:tcPr>
          <w:p>
            <w:r>
              <w:rPr>
                <w:rFonts w:ascii="Times New Roman" w:hAnsi="Times New Roman"/>
                <w:b/>
                <w:sz w:val="16"/>
              </w:rPr>
              <w:t>v (PP)</w:t>
            </w:r>
          </w:p>
        </w:tc>
        <w:tc>
          <w:tcPr>
            <w:tcW w:type="dxa" w:w="1560"/>
          </w:tcPr>
          <w:p>
            <w:r>
              <w:rPr>
                <w:rFonts w:ascii="Times New Roman" w:hAnsi="Times New Roman"/>
                <w:b/>
                <w:sz w:val="16"/>
              </w:rPr>
              <w:t>SBP mean bias</w:t>
              <w:br/>
              <w:t>(mmHg)</w:t>
            </w:r>
          </w:p>
        </w:tc>
      </w:tr>
      <w:tr>
        <w:tc>
          <w:tcPr>
            <w:tcW w:type="dxa" w:w="1560"/>
          </w:tcPr>
          <w:p>
            <w:r>
              <w:rPr>
                <w:rFonts w:ascii="Times New Roman" w:hAnsi="Times New Roman"/>
                <w:sz w:val="16"/>
              </w:rPr>
              <w:t>Optimal (25 Hz, 0.65)</w:t>
            </w:r>
          </w:p>
        </w:tc>
        <w:tc>
          <w:tcPr>
            <w:tcW w:type="dxa" w:w="1560"/>
          </w:tcPr>
          <w:p>
            <w:r>
              <w:rPr>
                <w:rFonts w:ascii="Times New Roman" w:hAnsi="Times New Roman"/>
                <w:sz w:val="16"/>
              </w:rPr>
              <w:t>1.01</w:t>
            </w:r>
          </w:p>
        </w:tc>
        <w:tc>
          <w:tcPr>
            <w:tcW w:type="dxa" w:w="1560"/>
          </w:tcPr>
          <w:p>
            <w:r>
              <w:rPr>
                <w:rFonts w:ascii="Times New Roman" w:hAnsi="Times New Roman"/>
                <w:sz w:val="16"/>
              </w:rPr>
              <w:t>+0.3</w:t>
            </w:r>
          </w:p>
        </w:tc>
        <w:tc>
          <w:tcPr>
            <w:tcW w:type="dxa" w:w="1560"/>
          </w:tcPr>
          <w:p>
            <w:r>
              <w:rPr>
                <w:rFonts w:ascii="Times New Roman" w:hAnsi="Times New Roman"/>
                <w:sz w:val="16"/>
              </w:rPr>
              <w:t>0.973</w:t>
            </w:r>
          </w:p>
        </w:tc>
        <w:tc>
          <w:tcPr>
            <w:tcW w:type="dxa" w:w="1560"/>
          </w:tcPr>
          <w:p>
            <w:r>
              <w:rPr>
                <w:rFonts w:ascii="Times New Roman" w:hAnsi="Times New Roman"/>
                <w:sz w:val="16"/>
              </w:rPr>
              <w:t>1.030</w:t>
            </w:r>
          </w:p>
        </w:tc>
        <w:tc>
          <w:tcPr>
            <w:tcW w:type="dxa" w:w="1560"/>
          </w:tcPr>
          <w:p>
            <w:r>
              <w:rPr>
                <w:rFonts w:ascii="Times New Roman" w:hAnsi="Times New Roman"/>
                <w:sz w:val="16"/>
              </w:rPr>
              <w:t>+0.2</w:t>
            </w:r>
          </w:p>
        </w:tc>
      </w:tr>
      <w:tr>
        <w:tc>
          <w:tcPr>
            <w:tcW w:type="dxa" w:w="1560"/>
          </w:tcPr>
          <w:p>
            <w:r>
              <w:rPr>
                <w:rFonts w:ascii="Times New Roman" w:hAnsi="Times New Roman"/>
                <w:sz w:val="16"/>
              </w:rPr>
              <w:t>Underdamped (10 Hz, 0.15)</w:t>
            </w:r>
          </w:p>
        </w:tc>
        <w:tc>
          <w:tcPr>
            <w:tcW w:type="dxa" w:w="1560"/>
          </w:tcPr>
          <w:p>
            <w:r>
              <w:rPr>
                <w:rFonts w:ascii="Times New Roman" w:hAnsi="Times New Roman"/>
                <w:sz w:val="16"/>
              </w:rPr>
              <w:t>1.24</w:t>
            </w:r>
          </w:p>
        </w:tc>
        <w:tc>
          <w:tcPr>
            <w:tcW w:type="dxa" w:w="1560"/>
          </w:tcPr>
          <w:p>
            <w:r>
              <w:rPr>
                <w:rFonts w:ascii="Times New Roman" w:hAnsi="Times New Roman"/>
                <w:sz w:val="16"/>
              </w:rPr>
              <w:t>+10.7</w:t>
            </w:r>
          </w:p>
        </w:tc>
        <w:tc>
          <w:tcPr>
            <w:tcW w:type="dxa" w:w="1560"/>
          </w:tcPr>
          <w:p>
            <w:r>
              <w:rPr>
                <w:rFonts w:ascii="Times New Roman" w:hAnsi="Times New Roman"/>
                <w:sz w:val="16"/>
              </w:rPr>
              <w:t>0.588</w:t>
            </w:r>
          </w:p>
        </w:tc>
        <w:tc>
          <w:tcPr>
            <w:tcW w:type="dxa" w:w="1560"/>
          </w:tcPr>
          <w:p>
            <w:r>
              <w:rPr>
                <w:rFonts w:ascii="Times New Roman" w:hAnsi="Times New Roman"/>
                <w:sz w:val="16"/>
              </w:rPr>
              <w:t>1.277</w:t>
            </w:r>
          </w:p>
        </w:tc>
        <w:tc>
          <w:tcPr>
            <w:tcW w:type="dxa" w:w="1560"/>
          </w:tcPr>
          <w:p>
            <w:r>
              <w:rPr>
                <w:rFonts w:ascii="Times New Roman" w:hAnsi="Times New Roman"/>
                <w:sz w:val="16"/>
              </w:rPr>
              <w:t>+7.6</w:t>
            </w:r>
          </w:p>
        </w:tc>
      </w:tr>
      <w:tr>
        <w:tc>
          <w:tcPr>
            <w:tcW w:type="dxa" w:w="1560"/>
          </w:tcPr>
          <w:p>
            <w:r>
              <w:rPr>
                <w:rFonts w:ascii="Times New Roman" w:hAnsi="Times New Roman"/>
                <w:sz w:val="16"/>
              </w:rPr>
              <w:t>Overdamped (8 Hz, 0.80)</w:t>
            </w:r>
          </w:p>
        </w:tc>
        <w:tc>
          <w:tcPr>
            <w:tcW w:type="dxa" w:w="1560"/>
          </w:tcPr>
          <w:p>
            <w:r>
              <w:rPr>
                <w:rFonts w:ascii="Times New Roman" w:hAnsi="Times New Roman"/>
                <w:sz w:val="16"/>
              </w:rPr>
              <w:t>0.92</w:t>
            </w:r>
          </w:p>
        </w:tc>
        <w:tc>
          <w:tcPr>
            <w:tcW w:type="dxa" w:w="1560"/>
          </w:tcPr>
          <w:p>
            <w:r>
              <w:rPr>
                <w:rFonts w:ascii="Times New Roman" w:hAnsi="Times New Roman"/>
                <w:sz w:val="16"/>
              </w:rPr>
              <w:t>-3.4</w:t>
            </w:r>
          </w:p>
        </w:tc>
        <w:tc>
          <w:tcPr>
            <w:tcW w:type="dxa" w:w="1560"/>
          </w:tcPr>
          <w:p>
            <w:r>
              <w:rPr>
                <w:rFonts w:ascii="Times New Roman" w:hAnsi="Times New Roman"/>
                <w:sz w:val="16"/>
              </w:rPr>
              <w:t>0.891</w:t>
            </w:r>
          </w:p>
        </w:tc>
        <w:tc>
          <w:tcPr>
            <w:tcW w:type="dxa" w:w="1560"/>
          </w:tcPr>
          <w:p>
            <w:r>
              <w:rPr>
                <w:rFonts w:ascii="Times New Roman" w:hAnsi="Times New Roman"/>
                <w:sz w:val="16"/>
              </w:rPr>
              <w:t>0.989</w:t>
            </w:r>
          </w:p>
        </w:tc>
        <w:tc>
          <w:tcPr>
            <w:tcW w:type="dxa" w:w="1560"/>
          </w:tcPr>
          <w:p>
            <w:r>
              <w:rPr>
                <w:rFonts w:ascii="Times New Roman" w:hAnsi="Times New Roman"/>
                <w:sz w:val="16"/>
              </w:rPr>
              <w:t>-3.4</w:t>
            </w:r>
          </w:p>
        </w:tc>
      </w:tr>
    </w:tbl>
    <w:p>
      <w:pPr>
        <w:spacing w:after="120"/>
      </w:pPr>
      <w:r>
        <w:rPr>
          <w:rFonts w:ascii="Times New Roman" w:hAnsi="Times New Roman"/>
          <w:b w:val="0"/>
          <w:i/>
          <w:sz w:val="24"/>
        </w:rPr>
        <w:t>PP ratio = mean(measured PP / true PP); f_n = natural frequency; ζ = damping coefficient. Under-damping inflates and over-damping attenuates pulse pressure; the mean arterial (DC) level is preserved, so zeroing does not correct these errors.</w:t>
      </w:r>
    </w:p>
    <w:p>
      <w:r>
        <w:br w:type="page"/>
      </w:r>
    </w:p>
    <w:p>
      <w:pPr>
        <w:pStyle w:val="Heading1"/>
      </w:pPr>
      <w:r>
        <w:rPr>
          <w:rFonts w:ascii="Times New Roman" w:hAnsi="Times New Roman"/>
          <w:color w:val="000000"/>
        </w:rPr>
        <w:t>Figure legends</w:t>
      </w:r>
    </w:p>
    <w:p>
      <w:pPr>
        <w:spacing w:after="120"/>
      </w:pPr>
      <w:r>
        <w:rPr>
          <w:rFonts w:ascii="Times New Roman" w:hAnsi="Times New Roman"/>
          <w:b w:val="0"/>
          <w:i w:val="0"/>
          <w:sz w:val="24"/>
        </w:rPr>
        <w:t>Figure 1. Decomposition of the arterial pressure signal. (A) A DC offset shifts the baseline but leaves pulse pressure unchanged. (B) A gain error scales the entire waveform, so pulse pressure changes in proportion to the gain. Zeroing corrects the offset in (A) but cannot correct the gain error in (B).</w:t>
      </w:r>
    </w:p>
    <w:p>
      <w:pPr>
        <w:spacing w:after="120"/>
      </w:pPr>
      <w:r>
        <w:rPr>
          <w:rFonts w:ascii="Times New Roman" w:hAnsi="Times New Roman"/>
          <w:b w:val="0"/>
          <w:i w:val="0"/>
          <w:sz w:val="24"/>
        </w:rPr>
        <w:t>Figure 2. Device-versus-reference concordance for the four static scenarios (dashed line = identity). Each panel shows the CCC, the CCC scale shift v, and the Bland–Altman mean bias. S4 has a near-zero mean bias despite a 10% gain error.</w:t>
      </w:r>
    </w:p>
    <w:p>
      <w:pPr>
        <w:spacing w:after="120"/>
      </w:pPr>
      <w:r>
        <w:rPr>
          <w:rFonts w:ascii="Times New Roman" w:hAnsi="Times New Roman"/>
          <w:b w:val="0"/>
          <w:i w:val="0"/>
          <w:sz w:val="24"/>
        </w:rPr>
        <w:t>Figure 3. Which reported analysis detects the error in each scenario (green = detected, grey = missed). In S4 the mean-bias summary misses the gain error that every proportional-bias–aware analysis detects.</w:t>
      </w:r>
    </w:p>
    <w:p>
      <w:pPr>
        <w:spacing w:after="120"/>
      </w:pPr>
      <w:r>
        <w:rPr>
          <w:rFonts w:ascii="Times New Roman" w:hAnsi="Times New Roman"/>
          <w:b w:val="0"/>
          <w:i w:val="0"/>
          <w:sz w:val="24"/>
        </w:rPr>
        <w:t>Figure 4. Bland–Altman difference-versus-mean plots. In S2 the regression slope is flat; in S4 the slope is clearly positive despite a near-zero mean bias, revealing the masked proportional (gain) error.</w:t>
      </w:r>
    </w:p>
    <w:p>
      <w:pPr>
        <w:spacing w:after="120"/>
      </w:pPr>
      <w:r>
        <w:rPr>
          <w:rFonts w:ascii="Times New Roman" w:hAnsi="Times New Roman"/>
          <w:b w:val="0"/>
          <w:i w:val="0"/>
          <w:sz w:val="24"/>
        </w:rPr>
        <w:t>Figure 5. Dynamic response of the catheter–transducer system. (A) Frequency response of optimal, under-damped and over-damped systems with the arterial harmonics overlaid. (B) Example waveforms. (C) Measured versus true pulse pressure, with the mean PP ratio per system.</w:t>
      </w:r>
    </w:p>
    <w:p>
      <w:pPr>
        <w:spacing w:after="120"/>
      </w:pPr>
      <w:r>
        <w:rPr>
          <w:rFonts w:ascii="Times New Roman" w:hAnsi="Times New Roman"/>
          <w:b w:val="0"/>
          <w:i w:val="0"/>
          <w:sz w:val="24"/>
        </w:rPr>
        <w:t>Figure 6. Range-dependence of the CCC. For one fixed device, the CCC and C_b increase as the sampled pressure range widens, whereas the scale shift v stays close to the true gain ratio.</w:t>
      </w:r>
    </w:p>
    <w:p>
      <w:r>
        <w:br w:type="page"/>
      </w:r>
    </w:p>
    <w:p>
      <w:pPr>
        <w:pStyle w:val="Heading1"/>
      </w:pPr>
      <w:r>
        <w:rPr>
          <w:rFonts w:ascii="Times New Roman" w:hAnsi="Times New Roman"/>
          <w:color w:val="000000"/>
        </w:rPr>
        <w:t>References</w:t>
      </w:r>
    </w:p>
    <w:p>
      <w:pPr>
        <w:spacing w:after="60" w:line="360" w:lineRule="auto"/>
        <w:ind w:hanging="510" w:left="510"/>
      </w:pPr>
      <w:r>
        <w:rPr>
          <w:rFonts w:ascii="Times New Roman" w:hAnsi="Times New Roman"/>
          <w:sz w:val="20"/>
        </w:rPr>
        <w:t>1. Saugel B, Kouz K, Meidert AS, Schulte-Uentrop L, Romagnoli S. How to measure blood pressure using an arterial catheter: a systematic 5-step approach. Crit Care. 2020;24:172.</w:t>
      </w:r>
    </w:p>
    <w:p>
      <w:pPr>
        <w:spacing w:after="60" w:line="360" w:lineRule="auto"/>
        <w:ind w:hanging="510" w:left="510"/>
      </w:pPr>
      <w:r>
        <w:rPr>
          <w:rFonts w:ascii="Times New Roman" w:hAnsi="Times New Roman"/>
          <w:sz w:val="20"/>
        </w:rPr>
        <w:t>2. Saugel B, Sessler DI. Perioperative blood pressure management. Anesthesiology. 2021;134:250–61.</w:t>
      </w:r>
    </w:p>
    <w:p>
      <w:pPr>
        <w:spacing w:after="60" w:line="360" w:lineRule="auto"/>
        <w:ind w:hanging="510" w:left="510"/>
      </w:pPr>
      <w:r>
        <w:rPr>
          <w:rFonts w:ascii="Times New Roman" w:hAnsi="Times New Roman"/>
          <w:sz w:val="20"/>
        </w:rPr>
        <w:t>3. Gupta D, Jain A, Ismaeil M. Zero arterial catheters with every change in the height difference of pressure transducer and catheter insertion site. Ann Card Anaesth. 2025;28:205.</w:t>
      </w:r>
    </w:p>
    <w:p>
      <w:pPr>
        <w:spacing w:after="60" w:line="360" w:lineRule="auto"/>
        <w:ind w:hanging="510" w:left="510"/>
      </w:pPr>
      <w:r>
        <w:rPr>
          <w:rFonts w:ascii="Times New Roman" w:hAnsi="Times New Roman"/>
          <w:sz w:val="20"/>
        </w:rPr>
        <w:t>4. Mark JB. Atlas of Cardiovascular Monitoring. New York: Churchill Livingstone; 1998.</w:t>
      </w:r>
    </w:p>
    <w:p>
      <w:pPr>
        <w:spacing w:after="60" w:line="360" w:lineRule="auto"/>
        <w:ind w:hanging="510" w:left="510"/>
      </w:pPr>
      <w:r>
        <w:rPr>
          <w:rFonts w:ascii="Times New Roman" w:hAnsi="Times New Roman"/>
          <w:sz w:val="20"/>
        </w:rPr>
        <w:t>5. McGhee BH, Bridges MEJ. Monitoring arterial blood pressure: what you may not know. Crit Care Nurse. 2002;22:60–79.</w:t>
      </w:r>
    </w:p>
    <w:p>
      <w:pPr>
        <w:spacing w:after="60" w:line="360" w:lineRule="auto"/>
        <w:ind w:hanging="510" w:left="510"/>
      </w:pPr>
      <w:r>
        <w:rPr>
          <w:rFonts w:ascii="Times New Roman" w:hAnsi="Times New Roman"/>
          <w:sz w:val="20"/>
        </w:rPr>
        <w:t>6. Gardner RM. Direct blood pressure measurement—dynamic response requirements. Anesthesiology. 1981;54:227–36.</w:t>
      </w:r>
    </w:p>
    <w:p>
      <w:pPr>
        <w:spacing w:after="60" w:line="360" w:lineRule="auto"/>
        <w:ind w:hanging="510" w:left="510"/>
      </w:pPr>
      <w:r>
        <w:rPr>
          <w:rFonts w:ascii="Times New Roman" w:hAnsi="Times New Roman"/>
          <w:sz w:val="20"/>
        </w:rPr>
        <w:t>7. Bland JM, Altman DG. Statistical methods for assessing agreement between two methods of clinical measurement. Lancet. 1986;327:307–10.</w:t>
      </w:r>
    </w:p>
    <w:p>
      <w:pPr>
        <w:spacing w:after="60" w:line="360" w:lineRule="auto"/>
        <w:ind w:hanging="510" w:left="510"/>
      </w:pPr>
      <w:r>
        <w:rPr>
          <w:rFonts w:ascii="Times New Roman" w:hAnsi="Times New Roman"/>
          <w:sz w:val="20"/>
        </w:rPr>
        <w:t>8. Critchley LAH, Critchley JAJH. A meta-analysis of studies using bias and precision statistics to compare cardiac output measurement techniques. J Clin Monit Comput. 1999;15:85–91.</w:t>
      </w:r>
    </w:p>
    <w:p>
      <w:pPr>
        <w:spacing w:after="60" w:line="360" w:lineRule="auto"/>
        <w:ind w:hanging="510" w:left="510"/>
      </w:pPr>
      <w:r>
        <w:rPr>
          <w:rFonts w:ascii="Times New Roman" w:hAnsi="Times New Roman"/>
          <w:sz w:val="20"/>
        </w:rPr>
        <w:t>9. Cecconi M, Rhodes A, Poloniecki J, Della Rocca G, Grounds RM. Bench-to-bedside review: the importance of the precision of the reference technique in method comparison studies. Crit Care. 2009;13:201.</w:t>
      </w:r>
    </w:p>
    <w:p>
      <w:pPr>
        <w:spacing w:after="60" w:line="360" w:lineRule="auto"/>
        <w:ind w:hanging="510" w:left="510"/>
      </w:pPr>
      <w:r>
        <w:rPr>
          <w:rFonts w:ascii="Times New Roman" w:hAnsi="Times New Roman"/>
          <w:sz w:val="20"/>
        </w:rPr>
        <w:t>10. Bland JM, Altman DG. Measuring agreement in method comparison studies. Stat Methods Med Res. 1999;8:135–60.</w:t>
      </w:r>
    </w:p>
    <w:p>
      <w:pPr>
        <w:spacing w:after="60" w:line="360" w:lineRule="auto"/>
        <w:ind w:hanging="510" w:left="510"/>
      </w:pPr>
      <w:r>
        <w:rPr>
          <w:rFonts w:ascii="Times New Roman" w:hAnsi="Times New Roman"/>
          <w:sz w:val="20"/>
        </w:rPr>
        <w:t>11. Lin LI-K. A concordance correlation coefficient to evaluate reproducibility. Biometrics. 1989;45:255–68.</w:t>
      </w:r>
    </w:p>
    <w:p>
      <w:pPr>
        <w:spacing w:after="60" w:line="360" w:lineRule="auto"/>
        <w:ind w:hanging="510" w:left="510"/>
      </w:pPr>
      <w:r>
        <w:rPr>
          <w:rFonts w:ascii="Times New Roman" w:hAnsi="Times New Roman"/>
          <w:sz w:val="20"/>
        </w:rPr>
        <w:t>12. Lin LI-K. A note on the concordance correlation coefficient. Biometrics. 2000;56:324–5.</w:t>
      </w:r>
    </w:p>
    <w:p>
      <w:pPr>
        <w:spacing w:after="60" w:line="360" w:lineRule="auto"/>
        <w:ind w:hanging="510" w:left="510"/>
      </w:pPr>
      <w:r>
        <w:rPr>
          <w:rFonts w:ascii="Times New Roman" w:hAnsi="Times New Roman"/>
          <w:sz w:val="20"/>
        </w:rPr>
        <w:t>13. Linnet K. Estimation of the linear relationship between the measurements of two methods with proportional errors. Stat Med. 1990;9:1463–73.</w:t>
      </w:r>
    </w:p>
    <w:p>
      <w:pPr>
        <w:spacing w:after="60" w:line="360" w:lineRule="auto"/>
        <w:ind w:hanging="510" w:left="510"/>
      </w:pPr>
      <w:r>
        <w:rPr>
          <w:rFonts w:ascii="Times New Roman" w:hAnsi="Times New Roman"/>
          <w:sz w:val="20"/>
        </w:rPr>
        <w:t>14. Passing H, Bablok W. A new biometrical procedure for testing the equality of measurements from two different analytical methods. J Clin Chem Clin Biochem. 1983;21:709–20.</w:t>
      </w:r>
    </w:p>
    <w:p>
      <w:pPr>
        <w:spacing w:after="60" w:line="360" w:lineRule="auto"/>
        <w:ind w:hanging="510" w:left="510"/>
      </w:pPr>
      <w:r>
        <w:rPr>
          <w:rFonts w:ascii="Times New Roman" w:hAnsi="Times New Roman"/>
          <w:sz w:val="20"/>
        </w:rPr>
        <w:t>15. Atkinson G, Nevill A. Comment on the use of concordance correlation to assess the agreement between two variables. Biometrics. 1997;53:775–7.</w:t>
      </w:r>
    </w:p>
    <w:p>
      <w:pPr>
        <w:spacing w:after="60" w:line="360" w:lineRule="auto"/>
        <w:ind w:hanging="510" w:left="510"/>
      </w:pPr>
      <w:r>
        <w:rPr>
          <w:rFonts w:ascii="Times New Roman" w:hAnsi="Times New Roman"/>
          <w:sz w:val="20"/>
        </w:rPr>
        <w:t>16. Barnhart HX, Haber MJ, Lin LI. An overview on assessing agreement with continuous measurements. J Biopharm Stat. 2007;17:529–69.</w:t>
      </w:r>
    </w:p>
    <w:p>
      <w:pPr>
        <w:spacing w:after="60" w:line="360" w:lineRule="auto"/>
        <w:ind w:hanging="510" w:left="510"/>
      </w:pPr>
      <w:r>
        <w:rPr>
          <w:rFonts w:ascii="Times New Roman" w:hAnsi="Times New Roman"/>
          <w:sz w:val="20"/>
        </w:rPr>
        <w:t>17. McBride GB. A proposal for strength-of-agreement criteria for Lin’s concordance correlation coefficient. NIWA Client Report HAM2005-062; 2005.</w:t>
      </w:r>
    </w:p>
    <w:p>
      <w:pPr>
        <w:spacing w:after="60" w:line="360" w:lineRule="auto"/>
        <w:ind w:hanging="510" w:left="510"/>
      </w:pPr>
      <w:r>
        <w:rPr>
          <w:rFonts w:ascii="Times New Roman" w:hAnsi="Times New Roman"/>
          <w:sz w:val="20"/>
        </w:rPr>
        <w:t>18. Kleinman B, Powell S, Kumar P, Gardner RM. The fast flush test measures the dynamic response of the entire blood pressure monitoring system. Anesthesiology. 1992;77:1215–20.</w:t>
      </w:r>
    </w:p>
    <w:p>
      <w:pPr>
        <w:spacing w:after="60" w:line="360" w:lineRule="auto"/>
        <w:ind w:hanging="510" w:left="510"/>
      </w:pPr>
      <w:r>
        <w:rPr>
          <w:rFonts w:ascii="Times New Roman" w:hAnsi="Times New Roman"/>
          <w:sz w:val="20"/>
        </w:rPr>
        <w:t>19. Romagnoli S, Ricci Z, Quattrone D, et al. Accuracy of invasive arterial pressure monitoring in cardiovascular patients: an observational study. Crit Care. 2014;18:644.</w:t>
      </w:r>
    </w:p>
    <w:p>
      <w:pPr>
        <w:spacing w:after="60" w:line="360" w:lineRule="auto"/>
        <w:ind w:hanging="510" w:left="510"/>
      </w:pPr>
      <w:r>
        <w:rPr>
          <w:rFonts w:ascii="Times New Roman" w:hAnsi="Times New Roman"/>
          <w:sz w:val="20"/>
        </w:rPr>
        <w:t>20. Kim S-H, Lilot M, Sidhu KS, et al. Accuracy and precision of continuous noninvasive arterial pressure monitoring compared with invasive arterial pressure. Anesthesiology. 2014;120:1080–97.</w:t>
      </w:r>
    </w:p>
    <w:p>
      <w:pPr>
        <w:spacing w:after="60" w:line="360" w:lineRule="auto"/>
        <w:ind w:hanging="510" w:left="510"/>
      </w:pPr>
      <w:r>
        <w:rPr>
          <w:rFonts w:ascii="Times New Roman" w:hAnsi="Times New Roman"/>
          <w:sz w:val="20"/>
        </w:rPr>
        <w:t>21. Joosten A, Desebbe O, Suehiro K, et al. Accuracy and precision of non-invasive cardiac output monitoring devices in perioperative medicine: a systematic review and meta-analysis. Br J Anaesth. 2017;118:298–310.</w:t>
      </w:r>
    </w:p>
    <w:p>
      <w:pPr>
        <w:spacing w:after="60" w:line="360" w:lineRule="auto"/>
        <w:ind w:hanging="510" w:left="510"/>
      </w:pPr>
      <w:r>
        <w:rPr>
          <w:rFonts w:ascii="Times New Roman" w:hAnsi="Times New Roman"/>
          <w:sz w:val="20"/>
        </w:rPr>
        <w:t>22. Odor PM, Bampoe S, Cecconi M. Cardiac output monitoring: validation studies—how results should be presented. Curr Anesthesiol Rep. 2017;7:410–15.</w:t>
      </w:r>
    </w:p>
    <w:p>
      <w:pPr>
        <w:spacing w:after="60" w:line="360" w:lineRule="auto"/>
        <w:ind w:hanging="510" w:left="510"/>
      </w:pPr>
      <w:r>
        <w:rPr>
          <w:rFonts w:ascii="Times New Roman" w:hAnsi="Times New Roman"/>
          <w:sz w:val="20"/>
        </w:rPr>
        <w:t>23. Hasenkamp W, Theumer T, Nolte J, Aschenbrenner L, Dietzel A, Büttgenbach S. Polyimide/SU-8 catheter-tip MEMS gauge pressure sensor. Biomed Microdevices. 2012;14:819–28.</w:t>
      </w:r>
    </w:p>
    <w:p>
      <w:pPr>
        <w:spacing w:after="60" w:line="360" w:lineRule="auto"/>
        <w:ind w:hanging="510" w:left="510"/>
      </w:pPr>
      <w:r>
        <w:rPr>
          <w:rFonts w:ascii="Times New Roman" w:hAnsi="Times New Roman"/>
          <w:sz w:val="20"/>
        </w:rPr>
        <w:t>24. Song P, Ma Z, Ma J, et al. Recent progress of miniature MEMS pressure sensors. Micromachines. 2020;11:56.</w:t>
      </w:r>
    </w:p>
    <w:p>
      <w:pPr>
        <w:spacing w:after="60" w:line="360" w:lineRule="auto"/>
        <w:ind w:hanging="510" w:left="510"/>
      </w:pPr>
      <w:r>
        <w:rPr>
          <w:rFonts w:ascii="Times New Roman" w:hAnsi="Times New Roman"/>
          <w:sz w:val="20"/>
        </w:rPr>
        <w:t>25. Kang Y, Ge C, Hu Y, et al. Development of a flexible integrated self-calibrating MEMS pressure sensor using a liquid-to-vapor phase change. Sensors. 2022;22:9737.</w:t>
      </w:r>
    </w:p>
    <w:p>
      <w:pPr>
        <w:spacing w:after="60" w:line="360" w:lineRule="auto"/>
        <w:ind w:hanging="510" w:left="510"/>
      </w:pPr>
      <w:r>
        <w:rPr>
          <w:rFonts w:ascii="Times New Roman" w:hAnsi="Times New Roman"/>
          <w:sz w:val="20"/>
        </w:rPr>
        <w:t>26. Scalia A, Ghafari C, Navarre W, et al. High fidelity pressure wires provide accurate validation of non-invasive central blood pressure and pulse wave velocity measurements. Biomedicines. 2023;11:1235.</w:t>
      </w:r>
    </w:p>
    <w:p>
      <w:pPr>
        <w:spacing w:after="60" w:line="360" w:lineRule="auto"/>
        <w:ind w:hanging="510" w:left="510"/>
      </w:pPr>
      <w:r>
        <w:rPr>
          <w:rFonts w:ascii="Times New Roman" w:hAnsi="Times New Roman"/>
          <w:sz w:val="20"/>
        </w:rPr>
        <w:t>27. Barlian AA, Park W-T, Mallon JR, Rastegar AJ, Pruitt BL. Review: semiconductor piezoresistance for microsystems. Proc IEEE. 2009;97:513–52.</w:t>
      </w:r>
    </w:p>
    <w:p>
      <w:pPr>
        <w:spacing w:after="60" w:line="360" w:lineRule="auto"/>
        <w:ind w:hanging="510" w:left="510"/>
      </w:pPr>
      <w:r>
        <w:rPr>
          <w:rFonts w:ascii="Times New Roman" w:hAnsi="Times New Roman"/>
          <w:sz w:val="20"/>
        </w:rPr>
        <w:t>28. Chatterjee K. The Swan–Ganz catheters: past, present, and future. Circulation. 2009;119:147–52.</w:t>
      </w:r>
    </w:p>
    <w:p>
      <w:pPr>
        <w:spacing w:after="60" w:line="360" w:lineRule="auto"/>
        <w:ind w:hanging="510" w:left="510"/>
      </w:pPr>
      <w:r>
        <w:rPr>
          <w:rFonts w:ascii="Times New Roman" w:hAnsi="Times New Roman"/>
          <w:sz w:val="20"/>
        </w:rPr>
        <w:t>29. Ameloot K, Palmers PJ, Malbrain MLNG. The accuracy of noninvasive cardiac output and pressure measurements with finger cuff: a concise review. Curr Opin Crit Care. 2015;21:232–9.</w:t>
      </w:r>
    </w:p>
    <w:p>
      <w:pPr>
        <w:spacing w:after="60" w:line="360" w:lineRule="auto"/>
        <w:ind w:hanging="510" w:left="510"/>
      </w:pPr>
      <w:r>
        <w:rPr>
          <w:rFonts w:ascii="Times New Roman" w:hAnsi="Times New Roman"/>
          <w:sz w:val="20"/>
        </w:rPr>
        <w:t>30. Squara P, Denjean D, Estagnasie P, Brusset A, Dib JC, Dubois C. Noninvasive cardiac output monitoring (NICOM): a clinical validation. Intensive Care Med. 2007;33:1191–4.</w:t>
      </w:r>
    </w:p>
    <w:p>
      <w:pPr>
        <w:spacing w:after="60" w:line="360" w:lineRule="auto"/>
        <w:ind w:hanging="510" w:left="510"/>
      </w:pPr>
      <w:r>
        <w:rPr>
          <w:rFonts w:ascii="Times New Roman" w:hAnsi="Times New Roman"/>
          <w:sz w:val="20"/>
        </w:rPr>
        <w:t>31. Manecke GR. Edwards FloTrac sensor and Vigileo monitor: easy, accurate, reliable cardiac output assessment using the arterial pulse wave. Expert Rev Med Devices. 2005;2:523–7.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