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an exploratory Japan comparison</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undiagnosed heat illness that goes unrecorded. We estimated the population-level traffic-crash mortality burden of these under-recognised effects in the USA and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essentially unchanged after adjusting for driving activity (RR 1.162).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traffic-crash deaths comparable to all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Heat waves are becoming more frequent under climate change, and ambient heat is an established driver of mortality.</w:t>
      </w:r>
      <w:r>
        <w:rPr>
          <w:vertAlign w:val="superscript"/>
        </w:rPr>
        <w:t>1,2</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3</w:t>
      </w:r>
      <w:r>
        <w:t xml:space="preserve"> and by Japanese prefecture (NPA accident open data, 2019-2024).</w:t>
      </w:r>
      <w:r>
        <w:rPr>
          <w:vertAlign w:val="superscript"/>
        </w:rPr>
        <w:t>4</w:t>
      </w:r>
      <w:r>
        <w:t xml:space="preserve"> Daily mean temperature was taken from GHCN-Daily stations</w:t>
      </w:r>
      <w:r>
        <w:rPr>
          <w:vertAlign w:val="superscript"/>
        </w:rPr>
        <w:t>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7</w:t>
      </w:r>
      <w:r>
        <w:t xml:space="preserve"> with Monte Carlo (MC) confidence intervals (CIs). As a sensitivity analysis for the US we added national vehicle-miles travelled (VMT)</w:t>
      </w:r>
      <w:r>
        <w:rPr>
          <w:vertAlign w:val="superscript"/>
        </w:rPr>
        <w:t>8</w:t>
      </w:r>
      <w:r>
        <w:t xml:space="preserve"> and finished-motor-gasoline product supplied</w:t>
      </w:r>
      <w:r>
        <w:rPr>
          <w:vertAlign w:val="superscript"/>
        </w:rPr>
        <w:t>9</w:t>
      </w:r>
      <w:r>
        <w:t xml:space="preserve"> as activity proxies. Officially recorded direct-heat deaths (International Classification of Diseases, 10th revision [ICD-10] code X30) were obtained from CDC WONDER.</w:t>
      </w:r>
      <w:r>
        <w:rPr>
          <w:vertAlign w:val="superscript"/>
        </w:rPr>
        <w:t>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mortality displacement. These findings are consistent with heat-related impairment or under-recognised heat illness contributing to road deaths without appearing in cause-of-death data.</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as expected when heat degrades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all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