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77896"/>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77896"/>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indicate regional blocks (distinguished by shading and hatch pattern).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429365"/>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429365"/>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β=32.6, P=0.150</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β=15.7, P=0.229</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β=0.08, P=0.863</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β=31.5, P=0.149</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64339"/>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64339"/>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marker shape represents a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(2012 vs 2017). https://www.pfizer.co.jp/pfizer/company/press/2017/2017_08_23.html. Accessed May 28, 2022. Archived at: https://web.archive.org/web/20220528073616/https://www.pfizer.co.jp/pfizer/company/press/2017/2017_08_23.html</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indicate regional blocks (distinguished by shading and hatch pattern). Dashed line indicates the national mean.</w:t>
      </w:r>
    </w:p>
    <w:p>
      <w:r>
        <w:rPr>
          <w:b/>
          <w:sz w:val="22"/>
        </w:rPr>
        <w:t xml:space="preserve">Figure 2. </w:t>
      </w:r>
      <w:r>
        <w:rPr>
          <w:sz w:val="22"/>
        </w:rPr>
        <w:t>Correlation between neuropathic pain prescribing and confounder disease proxies across 47 prefectures. Each marker shape represents a regional block.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marker shape represents a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