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図2.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図1.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コレステロール（図1）。</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3" name="Picture 3"/>
            <wp:cNvGraphicFramePr>
              <a:graphicFrameLocks noChangeAspect="1"/>
            </wp:cNvGraphicFramePr>
            <a:graphic>
              <a:graphicData uri="http://schemas.openxmlformats.org/drawingml/2006/picture">
                <pic:pic>
                  <pic:nvPicPr>
                    <pic:cNvPr id="0" name="fig4_direction_comparison.png"/>
                    <pic:cNvPicPr/>
                  </pic:nvPicPr>
                  <pic:blipFill>
                    <a:blip r:embed="rId11"/>
                    <a:stretch>
                      <a:fillRect/>
                    </a:stretch>
                  </pic:blipFill>
                  <pic:spPr>
                    <a:xfrm>
                      <a:off x="0" y="0"/>
                      <a:ext cx="5029200" cy="2515806"/>
                    </a:xfrm>
                    <a:prstGeom prst="rect"/>
                  </pic:spPr>
                </pic:pic>
              </a:graphicData>
            </a:graphic>
          </wp:inline>
        </w:drawing>
      </w:r>
    </w:p>
    <w:p>
      <w:pPr>
        <w:spacing w:before="80" w:after="240"/>
        <w:jc w:val="center"/>
      </w:pPr>
      <w:r>
        <w:rPr>
          <w:i/>
          <w:sz w:val="18"/>
        </w:rPr>
        <w:t>図4. 3手法による因果方向比較。全辺ペアでの一致・不一致。</w:t>
      </w:r>
    </w:p>
    <w:p>
      <w:r>
        <w:t>LiNGAM（DAG）、スペクトル因果性（α = 0.6）、DPI（α = 0）で推定された因果方向の比較（図3）：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4" name="Picture 4"/>
            <wp:cNvGraphicFramePr>
              <a:graphicFrameLocks noChangeAspect="1"/>
            </wp:cNvGraphicFramePr>
            <a:graphic>
              <a:graphicData uri="http://schemas.openxmlformats.org/drawingml/2006/picture">
                <pic:pic>
                  <pic:nvPicPr>
                    <pic:cNvPr id="0" name="fig7_lingam_vs_spectral.png"/>
                    <pic:cNvPicPr/>
                  </pic:nvPicPr>
                  <pic:blipFill>
                    <a:blip r:embed="rId12"/>
                    <a:stretch>
                      <a:fillRect/>
                    </a:stretch>
                  </pic:blipFill>
                  <pic:spPr>
                    <a:xfrm>
                      <a:off x="0" y="0"/>
                      <a:ext cx="5029200" cy="2187657"/>
                    </a:xfrm>
                    <a:prstGeom prst="rect"/>
                  </pic:spPr>
                </pic:pic>
              </a:graphicData>
            </a:graphic>
          </wp:inline>
        </w:drawing>
      </w:r>
    </w:p>
    <w:p>
      <w:pPr>
        <w:spacing w:before="80" w:after="240"/>
        <w:jc w:val="center"/>
      </w:pPr>
      <w:r>
        <w:rPr>
          <w:i/>
          <w:sz w:val="18"/>
        </w:rPr>
        <w:t>図5. LiNGAM DAG（左）vs スペクトル因果性DCG（右）。破線：フィードバック辺。</w:t>
      </w:r>
    </w:p>
    <w:p>
      <w:r>
        <w:t>スペクトル因果性がLiNGAMと逆方向を示唆する場合（図4）、それは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し（図5）、臨床医がどの循環を保持するかについて情報に基づく判断を可能にする。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5" name="Picture 5"/>
            <wp:cNvGraphicFramePr>
              <a:graphicFrameLocks noChangeAspect="1"/>
            </wp:cNvGraphicFramePr>
            <a:graphic>
              <a:graphicData uri="http://schemas.openxmlformats.org/drawingml/2006/picture">
                <pic:pic>
                  <pic:nvPicPr>
                    <pic:cNvPr id="0" name="fig9_ecd_pruning_analysis.png"/>
                    <pic:cNvPicPr/>
                  </pic:nvPicPr>
                  <pic:blipFill>
                    <a:blip r:embed="rId13"/>
                    <a:stretch>
                      <a:fillRect/>
                    </a:stretch>
                  </pic:blipFill>
                  <pic:spPr>
                    <a:xfrm>
                      <a:off x="0" y="0"/>
                      <a:ext cx="5029200" cy="4481653"/>
                    </a:xfrm>
                    <a:prstGeom prst="rect"/>
                  </pic:spPr>
                </pic:pic>
              </a:graphicData>
            </a:graphic>
          </wp:inline>
        </w:drawing>
      </w:r>
    </w:p>
    <w:p>
      <w:pPr>
        <w:spacing w:before="80" w:after="240"/>
        <w:jc w:val="center"/>
      </w:pPr>
      <w:r>
        <w:rPr>
          <w:i/>
          <w:sz w:val="18"/>
        </w:rPr>
        <w:t>図6.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pPr>
        <w:pStyle w:val="Heading2"/>
      </w:pPr>
      <w:r>
        <w:t>8.3 目的別プルーニング閾値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