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Times New Roman" w:hAnsi="Times New Roman" w:eastAsia="MS Mincho"/>
          <w:b/>
          <w:i w:val="0"/>
          <w:sz w:val="26"/>
        </w:rPr>
        <w:t>Table 2. Population-capital tempo correspondence.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Concept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Population (Bongaarts-Feeney, 1998)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Capital (this paper)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Flow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Births $B(t)$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Investment $I(t)$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Stock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Population $N(t)$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Reproducible capital $W(t)$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Quantum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Total Fertility Rate $TFR$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Investment rate $I/Y$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Tempo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Mean age at childbearing $MAC(t)$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Time-to-build $\mu(t)$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Bongaarts-Feeney adjustment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$TFR^\ast=TFR/(1-r(t))$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$K^\ast(t)$ via $\mu(t)$-weighted PIM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Forgotten parameter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Parity-specific $\sigma$ (Goldstein-Lutz-Scherbov, 2003)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Intangible share $\beta$ (Corrado-Hulten-Sichel, 2009)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Book-keeping identity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$dN/dt = B - d\cdot N$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$dW/dt = I - \delta W$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Joint identification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TFR* vs. life-table consistency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PIM vs. CWON consistency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