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Reproducibly digitizable dropout curves are scarce and their hazard shapes heterogeneous: a scoping search and Weibull analysis of loss to follow-up in tuberculosis and HIV treatment</w:t>
      </w:r>
    </w:p>
    <w:p>
      <w:pPr>
        <w:jc w:val="center"/>
      </w:pPr>
      <w:r>
        <w:rPr>
          <w:i/>
        </w:rPr>
        <w:t>Short Communication (scoping study)</w:t>
      </w:r>
    </w:p>
    <w:p>
      <w:r>
        <w:rPr>
          <w:b/>
          <w:sz w:val="26"/>
        </w:rPr>
        <w:t>Abstract</w:t>
      </w:r>
    </w:p>
    <w:p>
      <w:pPr>
        <w:spacing w:before="120"/>
      </w:pPr>
      <w:r>
        <w:rPr>
          <w:b/>
        </w:rPr>
        <w:t>Objectives</w:t>
      </w:r>
      <w:r>
        <w:t xml:space="preserve"> Loss to follow-up (LTFU) undermines tuberculosis (TB) and HIV treatment</w:t>
      </w:r>
      <w:r>
        <w:rPr>
          <w:vertAlign w:val="superscript"/>
        </w:rPr>
        <w:t>1</w:t>
      </w:r>
      <w:r>
        <w:t>. Its determinants are multilevel and context-dependent</w:t>
      </w:r>
      <w:r>
        <w:rPr>
          <w:vertAlign w:val="superscript"/>
        </w:rPr>
        <w:t>2</w:t>
      </w:r>
      <w:r>
        <w:t xml:space="preserve"> and retention interventions show inconsistent, setting-specific effectiveness</w:t>
      </w:r>
      <w:r>
        <w:rPr>
          <w:vertAlign w:val="superscript"/>
        </w:rPr>
        <w:t>3</w:t>
      </w:r>
      <w:r>
        <w:t>, yet adherence support is often chosen by clinical intuition rather than targeted to *when* patients actually disengage. Deciding when to intensify support, and later verifying that it worked, requires the *timing* of dropout — the hazard shape — to be visible in the published evidence. We asked how often that timing is actually reported in a reproducibly usable form, and whether, where it is, the hazard shape is consistent within and across diseases.</w:t>
      </w:r>
    </w:p>
    <w:p>
      <w:pPr>
        <w:spacing w:before="80"/>
      </w:pPr>
      <w:r>
        <w:rPr>
          <w:b/>
        </w:rPr>
        <w:t>Methods</w:t>
      </w:r>
      <w:r>
        <w:t xml:space="preserve"> We ran a reproducible Europe PMC search (open-access TB/HIV LTFU or retention reports mentioning a time-to-event curve; 7594 records, 2026-07-17). Our eligibility criterion was pragmatic and unusual: a figure had to make dropout *visible over time* as a single, cleanly separable, digitizable curve (Kaplan–Meier survivor or competing-risk cumulative incidence), not merely a final cumulative LTFU proportion. Eligible curves were digitized from figure pixels and fitted with a two-parameter Weibull cumulative-incidence model F(t)=1−exp(−(t/λ)^k); the shape parameter k (k&gt;1 increasing-failure-rate [IFR], support best sustained late; k&lt;1 decreasing-failure-rate [DFR], support best front-loaded) was estimated with a bootstrap 95% confidence interval (CI) and compared with exponential and log-normal fits by the Akaike information criterion (AIC).</w:t>
      </w:r>
    </w:p>
    <w:p>
      <w:pPr>
        <w:spacing w:before="80"/>
      </w:pPr>
      <w:r>
        <w:rPr>
          <w:b/>
        </w:rPr>
        <w:t>Results</w:t>
      </w:r>
      <w:r>
        <w:t xml:space="preserve"> Despite thousands of records, only 7 infectious-disease curves from 6 studies met the eligibility criterion: two TB cohorts (Ethiopia</w:t>
      </w:r>
      <w:r>
        <w:rPr>
          <w:vertAlign w:val="superscript"/>
        </w:rPr>
        <w:t>4</w:t>
      </w:r>
      <w:r>
        <w:t>, China</w:t>
      </w:r>
      <w:r>
        <w:rPr>
          <w:vertAlign w:val="superscript"/>
        </w:rPr>
        <w:t>5</w:t>
      </w:r>
      <w:r>
        <w:t>) and five HIV/ART cohorts (Ethiopia</w:t>
      </w:r>
      <w:r>
        <w:rPr>
          <w:vertAlign w:val="superscript"/>
        </w:rPr>
        <w:t>6</w:t>
      </w:r>
      <w:r>
        <w:t>, Maputo After- and Before-Test-and-Treat</w:t>
      </w:r>
      <w:r>
        <w:rPr>
          <w:vertAlign w:val="superscript"/>
        </w:rPr>
        <w:t>7</w:t>
      </w:r>
      <w:r>
        <w:t>, Malawi</w:t>
      </w:r>
      <w:r>
        <w:rPr>
          <w:vertAlign w:val="superscript"/>
        </w:rPr>
        <w:t>8</w:t>
      </w:r>
      <w:r>
        <w:t>, Gambella youth</w:t>
      </w:r>
      <w:r>
        <w:rPr>
          <w:vertAlign w:val="superscript"/>
        </w:rPr>
        <w:t>9</w:t>
      </w:r>
      <w:r>
        <w:t xml:space="preserve">); the vast majority reported only a final proportion. Among the 7 eligible curves the shape parameter ranged from k=0.44 to k=1.86 (4 IFR, 3 DFR), and heterogeneity appeared </w:t>
      </w:r>
      <w:r>
        <w:rPr>
          <w:b/>
        </w:rPr>
        <w:t>within</w:t>
      </w:r>
      <w:r>
        <w:t xml:space="preserve"> as well as between diseases: the two TB cohorts fell on opposite sides of k=1 (Ethiopia k=1.68 (95% CI 1.29–1.95), IFR; China k=0.44 (95% CI 0.43–0.50), DFR), and the HIV/ART cohorts likewise split (Maputo k=1.39 (95% CI 1.34–1.46) and k=1.34 (95% CI 1.29–1.41), Gambella k=1.86 (95% CI 1.73–2.18) increasing-hazard; Ethiopia-ART k=0.63 (95% CI 0.54–0.73) and Malawi k=0.78 (95% CI 0.64–0.91) decreasing-hazard). A non-infectious antipsychotic time-to-discontinuation curve</w:t>
      </w:r>
      <w:r>
        <w:rPr>
          <w:vertAlign w:val="superscript"/>
        </w:rPr>
        <w:t>10</w:t>
      </w:r>
      <w:r>
        <w:t xml:space="preserve"> shown for contrast was also DFR (k=0.49 (95% CI 0.42–0.57)).</w:t>
      </w:r>
    </w:p>
    <w:p>
      <w:pPr>
        <w:spacing w:before="80"/>
      </w:pPr>
      <w:r>
        <w:rPr>
          <w:b/>
        </w:rPr>
        <w:t>Conclusions</w:t>
      </w:r>
      <w:r>
        <w:t xml:space="preserve"> Reproducibly usable, time-resolved dropout curves are scarce, and where they exist the hazard shape is heterogeneous within TB and within HIV alike. The timing of retention support therefore cannot be assumed from the disease label or from intuition — it must be located empirically from each setting's dropout hazard shape, which also makes an intervention's effect verifiable. The core barrier is a reporting gap: routine publication of time-to-LTFU curves (or individual patient data) is needed before disease- or setting-specific dropout patterns, and the interventions timed to them, can be established and tested.</w:t>
      </w:r>
    </w:p>
    <w:p>
      <w:pPr>
        <w:spacing w:before="80"/>
      </w:pPr>
      <w:r>
        <w:rPr>
          <w:b/>
        </w:rPr>
        <w:t>Keywords</w:t>
      </w:r>
      <w:r>
        <w:t xml:space="preserve"> Tuberculosis; HIV; Loss to follow-up; Retention in care; Scoping review; Treatment adherence; Weibull; Hazard function; Survival analysis; Reporting</w:t>
      </w:r>
    </w:p>
    <w:p>
      <w:r>
        <w:rPr>
          <w:b/>
          <w:sz w:val="26"/>
        </w:rPr>
        <w:t>Background</w:t>
      </w:r>
    </w:p>
    <w:p>
      <w:pPr>
        <w:spacing w:before="120"/>
      </w:pPr>
      <w:r>
        <w:t>LTFU interrupts treatment for both TB and HIV, promoting acquired drug resistance, onward transmission and avoidable death</w:t>
      </w:r>
      <w:r>
        <w:rPr>
          <w:vertAlign w:val="superscript"/>
        </w:rPr>
        <w:t>1</w:t>
      </w:r>
      <w:r>
        <w:t>. Two things are already established. First, the determinants of treatment interruption are multilevel and strongly context-dependent, differing by health system, case mix and social setting</w:t>
      </w:r>
      <w:r>
        <w:rPr>
          <w:vertAlign w:val="superscript"/>
        </w:rPr>
        <w:t>2</w:t>
      </w:r>
      <w:r>
        <w:t>. Second, interventions intended to keep patients in care — community-based, behavioural and digital approaches — show inconsistent, setting-specific effectiveness, so no single strategy has proved universally transferable</w:t>
      </w:r>
      <w:r>
        <w:rPr>
          <w:vertAlign w:val="superscript"/>
        </w:rPr>
        <w:t>3</w:t>
      </w:r>
      <w:r>
        <w:t>. In practice, retention support is still frequently delivered as generic encouragement, chosen because it seems reasonable rather than because it is matched to when patients actually leave. Adopting a package simply because it ‘looks good’ also forfeits the chance to check whether it acts at the point in treatment where dropout actually happens.</w:t>
      </w:r>
    </w:p>
    <w:p>
      <w:pPr>
        <w:spacing w:before="120"/>
      </w:pPr>
      <w:r>
        <w:t>What has been missing is a *quantitative* description of the phenomenon that plausibly underlies this: whether patients across settings even disengage on the same time-course. Programmatic reports usually give a single cumulative LTFU proportion, which hides *when* during treatment patients leave. The hazard shape carries direct operational meaning: an increasing hazard (k&gt;1) argues for intensified support later in treatment, a decreasing hazard (k&lt;1) for front-loading it in the earliest weeks. Making, and later verifying, such timing decisions requires the shape to be recoverable from the published evidence in the first place. We therefore treated this as a scoping question with a deliberately unusual eligibility criterion — that a study make dropout *visible over time* in a reproducibly digitizable curve, not merely as a final proportion — and asked two things: how often is dropout timing reported in that usable form, and, where it is, is the Weibull hazard shape consistent within a disease and between diseases? To our knowledge no prior review has used reproducible visualization of dropout timing as its inclusion criterion.</w:t>
      </w:r>
    </w:p>
    <w:p>
      <w:r>
        <w:rPr>
          <w:b/>
          <w:sz w:val="26"/>
        </w:rPr>
        <w:t>Methods</w:t>
      </w:r>
    </w:p>
    <w:p>
      <w:pPr>
        <w:spacing w:before="120"/>
      </w:pPr>
      <w:r>
        <w:rPr>
          <w:b/>
        </w:rPr>
        <w:t>Search and eligibility.</w:t>
      </w:r>
      <w:r>
        <w:t xml:space="preserve"> We queried Europe PMC (open-access TB/HIV LTFU or retention reports mentioning a Kaplan–Meier, survival or cumulative-incidence curve) on 2026-07-17, which identified 7594 records; the exact query and a record sample are saved in the repository and regenerated by scripts/search_scoping.py. Our eligibility criterion was pragmatic: a report had to present a *time-resolved* treatment-dropout or retention curve as a single, cleanly separable, digitizable line (Kaplan–Meier survivor or competing-risk cumulative incidence), not only a final cumulative LTFU proportion. Full dual-reviewer screening of every record was beyond the scope of this short study; we screened the identified literature pragmatically against this criterion and note that the overwhelming majority of LTFU reports present only a final proportion and were therefore ineligible. Eligible infectious-disease curves were carried forward; one non-infectious antipsychotic curve was retained separately as a methodological contrast, outside the infectious-disease scope.</w:t>
      </w:r>
    </w:p>
    <w:p>
      <w:pPr>
        <w:spacing w:before="120"/>
      </w:pPr>
      <w:r>
        <w:rPr>
          <w:b/>
        </w:rPr>
        <w:t>Data and analysis.</w:t>
      </w:r>
      <w:r>
        <w:t xml:space="preserve"> We used only real, published curves. TB data were the competing-risk LTFU cumulative incidence at Ambo General Hospital, Ethiopia</w:t>
      </w:r>
      <w:r>
        <w:rPr>
          <w:vertAlign w:val="superscript"/>
        </w:rPr>
        <w:t>4</w:t>
      </w:r>
      <w:r>
        <w:t>, and the all-patient time-to-LTFU Kaplan–Meier (KM) curve from a 5-year Chinese cohort</w:t>
      </w:r>
      <w:r>
        <w:rPr>
          <w:vertAlign w:val="superscript"/>
        </w:rPr>
        <w:t>5</w:t>
      </w:r>
      <w:r>
        <w:t>. HIV/ART retention curves were an ART time-to-LTFU KM from southwest Ethiopia</w:t>
      </w:r>
      <w:r>
        <w:rPr>
          <w:vertAlign w:val="superscript"/>
        </w:rPr>
        <w:t>6</w:t>
      </w:r>
      <w:r>
        <w:t>, the After- and Before-Test-and-Treat retention curves from a Maputo (Mozambique) cohort</w:t>
      </w:r>
      <w:r>
        <w:rPr>
          <w:vertAlign w:val="superscript"/>
        </w:rPr>
        <w:t>7</w:t>
      </w:r>
      <w:r>
        <w:t>, the pre-intervention remaining-in-care curve from a Malawian case-management study</w:t>
      </w:r>
      <w:r>
        <w:rPr>
          <w:vertAlign w:val="superscript"/>
        </w:rPr>
        <w:t>8</w:t>
      </w:r>
      <w:r>
        <w:t>, and the overall KM for youth living with HIV transitioning to adult care in Gambella, Ethiopia</w:t>
      </w:r>
      <w:r>
        <w:rPr>
          <w:vertAlign w:val="superscript"/>
        </w:rPr>
        <w:t>9</w:t>
      </w:r>
      <w:r>
        <w:t>. As a non-infectious methodological contrast we added an antipsychotic time-to-discontinuation curve</w:t>
      </w:r>
      <w:r>
        <w:rPr>
          <w:vertAlign w:val="superscript"/>
        </w:rPr>
        <w:t>10</w:t>
      </w:r>
      <w:r>
        <w:t>. Curves were digitized from the published figures by an in-house pixel extractor with axis calibration read from the figure tick marks (values taken from curve pixels, not entered by hand); the original figure images and digitized coordinates are in the public repository. For each dataset we fitted the Weibull cumulative-incidence model F(t)=1−exp(−(t/λ)^k) by nonlinear least squares, obtained a bootstrap 95% CI for k, and compared the fit with exponential (k=1) and log-normal models by AIC. The shape parameter k is unit-free, so mixed follow-up units (months, days) do not affect the cross-study comparison of shape. Data, code and a one-command build that regenerates every reported number, Table 1 and Figure 1 are openly available (Availability of data and materials); no value is hard-coded.</w:t>
      </w:r>
    </w:p>
    <w:p>
      <w:r>
        <w:rPr>
          <w:b/>
          <w:sz w:val="26"/>
        </w:rPr>
        <w:t>Results</w:t>
      </w:r>
    </w:p>
    <w:p>
      <w:pPr>
        <w:spacing w:before="120"/>
      </w:pPr>
      <w:r>
        <w:rPr>
          <w:b/>
        </w:rPr>
        <w:t>Yield of the search.</w:t>
      </w:r>
      <w:r>
        <w:t xml:space="preserve"> Although the search identified 7594 open-access records, reproducibly digitizable, time-resolved dropout curves were rare: only 7 infectious-disease curves from 6 studies met the eligibility criterion (two TB, five HIV/ART). The dominant reason for ineligibility was that reports gave only a final cumulative LTFU proportion, with no curve from which the timing of dropout could be recovered. This scarcity is itself a principal finding: the data needed to time retention support are, at present, seldom published in a usable form.</w:t>
      </w:r>
    </w:p>
    <w:p>
      <w:pPr>
        <w:spacing w:before="120"/>
      </w:pPr>
      <w:r>
        <w:t xml:space="preserve">Fitted parameters for the eligible curves are shown in Table 1 and the fits are overlaid on the digitized data in Figure 1. Among the 7 infectious-disease curves the shape parameter spanned k=0.44 to k=1.86, with 4 increasing-hazard (IFR) and 3 decreasing-hazard (DFR). Crucially, the split occurred </w:t>
      </w:r>
      <w:r>
        <w:rPr>
          <w:b/>
        </w:rPr>
        <w:t>within</w:t>
      </w:r>
      <w:r>
        <w:t xml:space="preserve"> diseases, not only between them. The two TB cohorts fell on opposite sides of k=1 (Ethiopia IFR, k=1.68 (95% CI 1.29–1.95); China DFR, k=0.44 (95% CI 0.43–0.50)). The five HIV/ART cohorts did the same: the two Maputo cohorts (k=1.39 (95% CI 1.34–1.46) and k=1.34 (95% CI 1.29–1.41)) and the Gambella youth cohort (k=1.86 (95% CI 1.73–2.18)) were increasing-hazard, whereas the southwest-Ethiopia ART cohort (k=0.63 (95% CI 0.54–0.73)) and the Malawi pre-intervention cohort (k=0.78 (95% CI 0.64–0.91)) were decreasing-hazard. The non-infectious antipsychotic contrast was also decreasing-hazard (k=0.49 (95% CI 0.42–0.57)). No single characteristic shape described even a single disease, and the AIC preferred a non-exponential (Weibull or log-normal) shape over a constant hazard for every curve.</w:t>
      </w:r>
    </w:p>
    <w:p>
      <w:pPr>
        <w:spacing w:before="200"/>
      </w:pPr>
      <w:r>
        <w:rPr>
          <w:b/>
        </w:rPr>
        <w:t>Table 1.</w:t>
      </w:r>
      <w:r>
        <w:t xml:space="preserve"> Weibull fits to the digitized treatment-dropout curves (seven eligible infectious-disease curves plus one non-infectious antipsychotic contrast; source of truth: results/weibull_fits.csv; all values regenerated by the released code).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Dataset (source)</w:t>
            </w:r>
          </w:p>
        </w:tc>
        <w:tc>
          <w:tcPr>
            <w:tcW w:type="dxa" w:w="1872"/>
          </w:tcPr>
          <w:p>
            <w:r>
              <w:rPr>
                <w:b/>
              </w:rPr>
              <w:t>k (95% CI)</w:t>
            </w:r>
          </w:p>
        </w:tc>
        <w:tc>
          <w:tcPr>
            <w:tcW w:type="dxa" w:w="1872"/>
          </w:tcPr>
          <w:p>
            <w:r>
              <w:rPr>
                <w:b/>
              </w:rPr>
              <w:t>λ</w:t>
            </w:r>
          </w:p>
        </w:tc>
        <w:tc>
          <w:tcPr>
            <w:tcW w:type="dxa" w:w="1872"/>
          </w:tcPr>
          <w:p>
            <w:r>
              <w:rPr>
                <w:b/>
              </w:rPr>
              <w:t>R²</w:t>
            </w:r>
          </w:p>
        </w:tc>
        <w:tc>
          <w:tcPr>
            <w:tcW w:type="dxa" w:w="1872"/>
          </w:tcPr>
          <w:p>
            <w:r>
              <w:rPr>
                <w:b/>
              </w:rPr>
              <w:t>Hazard pattern</w:t>
            </w:r>
          </w:p>
        </w:tc>
      </w:tr>
      <w:tr>
        <w:tc>
          <w:tcPr>
            <w:tcW w:type="dxa" w:w="1872"/>
          </w:tcPr>
          <w:p>
            <w:r>
              <w:t>TB-Ethiopia — PMC10290796 Fig.1a (competing-risk CIF, 6 mo)</w:t>
            </w:r>
          </w:p>
        </w:tc>
        <w:tc>
          <w:tcPr>
            <w:tcW w:type="dxa" w:w="1872"/>
          </w:tcPr>
          <w:p>
            <w:r>
              <w:t>1.68 (1.29–1.95)</w:t>
            </w:r>
          </w:p>
        </w:tc>
        <w:tc>
          <w:tcPr>
            <w:tcW w:type="dxa" w:w="1872"/>
          </w:tcPr>
          <w:p>
            <w:r>
              <w:t>21.5</w:t>
            </w:r>
          </w:p>
        </w:tc>
        <w:tc>
          <w:tcPr>
            <w:tcW w:type="dxa" w:w="1872"/>
          </w:tcPr>
          <w:p>
            <w:r>
              <w:t>0.978</w:t>
            </w:r>
          </w:p>
        </w:tc>
        <w:tc>
          <w:tcPr>
            <w:tcW w:type="dxa" w:w="1872"/>
          </w:tcPr>
          <w:p>
            <w:r>
              <w:t>IFR (k&gt;1)</w:t>
            </w:r>
          </w:p>
        </w:tc>
      </w:tr>
      <w:tr>
        <w:tc>
          <w:tcPr>
            <w:tcW w:type="dxa" w:w="1872"/>
          </w:tcPr>
          <w:p>
            <w:r>
              <w:t>TB-China — PMC10167013 Fig.3 (All-TB KM retention, 12 mo)</w:t>
            </w:r>
          </w:p>
        </w:tc>
        <w:tc>
          <w:tcPr>
            <w:tcW w:type="dxa" w:w="1872"/>
          </w:tcPr>
          <w:p>
            <w:r>
              <w:t>0.44 (0.43–0.50)</w:t>
            </w:r>
          </w:p>
        </w:tc>
        <w:tc>
          <w:tcPr>
            <w:tcW w:type="dxa" w:w="1872"/>
          </w:tcPr>
          <w:p>
            <w:r>
              <w:t>957.3</w:t>
            </w:r>
          </w:p>
        </w:tc>
        <w:tc>
          <w:tcPr>
            <w:tcW w:type="dxa" w:w="1872"/>
          </w:tcPr>
          <w:p>
            <w:r>
              <w:t>0.920</w:t>
            </w:r>
          </w:p>
        </w:tc>
        <w:tc>
          <w:tcPr>
            <w:tcW w:type="dxa" w:w="1872"/>
          </w:tcPr>
          <w:p>
            <w:r>
              <w:t>DFR (k&lt;1)</w:t>
            </w:r>
          </w:p>
        </w:tc>
      </w:tr>
      <w:tr>
        <w:tc>
          <w:tcPr>
            <w:tcW w:type="dxa" w:w="1872"/>
          </w:tcPr>
          <w:p>
            <w:r>
              <w:t>ART/HIV-Ethiopia — PMC12953970 Fig.1A (retention KM, months)</w:t>
            </w:r>
          </w:p>
        </w:tc>
        <w:tc>
          <w:tcPr>
            <w:tcW w:type="dxa" w:w="1872"/>
          </w:tcPr>
          <w:p>
            <w:r>
              <w:t>0.63 (0.54–0.73)</w:t>
            </w:r>
          </w:p>
        </w:tc>
        <w:tc>
          <w:tcPr>
            <w:tcW w:type="dxa" w:w="1872"/>
          </w:tcPr>
          <w:p>
            <w:r>
              <w:t>228.3</w:t>
            </w:r>
          </w:p>
        </w:tc>
        <w:tc>
          <w:tcPr>
            <w:tcW w:type="dxa" w:w="1872"/>
          </w:tcPr>
          <w:p>
            <w:r>
              <w:t>0.926</w:t>
            </w:r>
          </w:p>
        </w:tc>
        <w:tc>
          <w:tcPr>
            <w:tcW w:type="dxa" w:w="1872"/>
          </w:tcPr>
          <w:p>
            <w:r>
              <w:t>DFR (k&lt;1)</w:t>
            </w:r>
          </w:p>
        </w:tc>
      </w:tr>
      <w:tr>
        <w:tc>
          <w:tcPr>
            <w:tcW w:type="dxa" w:w="1872"/>
          </w:tcPr>
          <w:p>
            <w:r>
              <w:t>HIV-Maputo-ATT — PMC13037074 Fig.3 (ATT retention KM, 0-80 mo)</w:t>
            </w:r>
          </w:p>
        </w:tc>
        <w:tc>
          <w:tcPr>
            <w:tcW w:type="dxa" w:w="1872"/>
          </w:tcPr>
          <w:p>
            <w:r>
              <w:t>1.39 (1.34–1.46)</w:t>
            </w:r>
          </w:p>
        </w:tc>
        <w:tc>
          <w:tcPr>
            <w:tcW w:type="dxa" w:w="1872"/>
          </w:tcPr>
          <w:p>
            <w:r>
              <w:t>69.3</w:t>
            </w:r>
          </w:p>
        </w:tc>
        <w:tc>
          <w:tcPr>
            <w:tcW w:type="dxa" w:w="1872"/>
          </w:tcPr>
          <w:p>
            <w:r>
              <w:t>0.995</w:t>
            </w:r>
          </w:p>
        </w:tc>
        <w:tc>
          <w:tcPr>
            <w:tcW w:type="dxa" w:w="1872"/>
          </w:tcPr>
          <w:p>
            <w:r>
              <w:t>IFR (k&gt;1)</w:t>
            </w:r>
          </w:p>
        </w:tc>
      </w:tr>
      <w:tr>
        <w:tc>
          <w:tcPr>
            <w:tcW w:type="dxa" w:w="1872"/>
          </w:tcPr>
          <w:p>
            <w:r>
              <w:t>HIV-Maputo-BTT — PMC13037074 Fig.3 (BTT retention KM, 0-80 mo)</w:t>
            </w:r>
          </w:p>
        </w:tc>
        <w:tc>
          <w:tcPr>
            <w:tcW w:type="dxa" w:w="1872"/>
          </w:tcPr>
          <w:p>
            <w:r>
              <w:t>1.34 (1.29–1.41)</w:t>
            </w:r>
          </w:p>
        </w:tc>
        <w:tc>
          <w:tcPr>
            <w:tcW w:type="dxa" w:w="1872"/>
          </w:tcPr>
          <w:p>
            <w:r>
              <w:t>44.7</w:t>
            </w:r>
          </w:p>
        </w:tc>
        <w:tc>
          <w:tcPr>
            <w:tcW w:type="dxa" w:w="1872"/>
          </w:tcPr>
          <w:p>
            <w:r>
              <w:t>0.995</w:t>
            </w:r>
          </w:p>
        </w:tc>
        <w:tc>
          <w:tcPr>
            <w:tcW w:type="dxa" w:w="1872"/>
          </w:tcPr>
          <w:p>
            <w:r>
              <w:t>IFR (k&gt;1)</w:t>
            </w:r>
          </w:p>
        </w:tc>
      </w:tr>
      <w:tr>
        <w:tc>
          <w:tcPr>
            <w:tcW w:type="dxa" w:w="1872"/>
          </w:tcPr>
          <w:p>
            <w:r>
              <w:t>HIV-Malawi-pre — PMC13191892 Fig.1 (pre-intervention care KM, 0-12 mo)</w:t>
            </w:r>
          </w:p>
        </w:tc>
        <w:tc>
          <w:tcPr>
            <w:tcW w:type="dxa" w:w="1872"/>
          </w:tcPr>
          <w:p>
            <w:r>
              <w:t>0.78 (0.64–0.91)</w:t>
            </w:r>
          </w:p>
        </w:tc>
        <w:tc>
          <w:tcPr>
            <w:tcW w:type="dxa" w:w="1872"/>
          </w:tcPr>
          <w:p>
            <w:r>
              <w:t>35.8</w:t>
            </w:r>
          </w:p>
        </w:tc>
        <w:tc>
          <w:tcPr>
            <w:tcW w:type="dxa" w:w="1872"/>
          </w:tcPr>
          <w:p>
            <w:r>
              <w:t>0.928</w:t>
            </w:r>
          </w:p>
        </w:tc>
        <w:tc>
          <w:tcPr>
            <w:tcW w:type="dxa" w:w="1872"/>
          </w:tcPr>
          <w:p>
            <w:r>
              <w:t>DFR (k&lt;1)</w:t>
            </w:r>
          </w:p>
        </w:tc>
      </w:tr>
      <w:tr>
        <w:tc>
          <w:tcPr>
            <w:tcW w:type="dxa" w:w="1872"/>
          </w:tcPr>
          <w:p>
            <w:r>
              <w:t>HIV-Gambella — PMC12903592 Fig.2 (overall LTFU KM, 12-48 mo)</w:t>
            </w:r>
          </w:p>
        </w:tc>
        <w:tc>
          <w:tcPr>
            <w:tcW w:type="dxa" w:w="1872"/>
          </w:tcPr>
          <w:p>
            <w:r>
              <w:t>1.86 (1.73–2.18)</w:t>
            </w:r>
          </w:p>
        </w:tc>
        <w:tc>
          <w:tcPr>
            <w:tcW w:type="dxa" w:w="1872"/>
          </w:tcPr>
          <w:p>
            <w:r>
              <w:t>114.2</w:t>
            </w:r>
          </w:p>
        </w:tc>
        <w:tc>
          <w:tcPr>
            <w:tcW w:type="dxa" w:w="1872"/>
          </w:tcPr>
          <w:p>
            <w:r>
              <w:t>0.974</w:t>
            </w:r>
          </w:p>
        </w:tc>
        <w:tc>
          <w:tcPr>
            <w:tcW w:type="dxa" w:w="1872"/>
          </w:tcPr>
          <w:p>
            <w:r>
              <w:t>IFR (k&gt;1)</w:t>
            </w:r>
          </w:p>
        </w:tc>
      </w:tr>
      <w:tr>
        <w:tc>
          <w:tcPr>
            <w:tcW w:type="dxa" w:w="1872"/>
          </w:tcPr>
          <w:p>
            <w:r>
              <w:t>Antipsychotic — PMC12437960 (time-to-discontinuation KM, days)</w:t>
            </w:r>
          </w:p>
        </w:tc>
        <w:tc>
          <w:tcPr>
            <w:tcW w:type="dxa" w:w="1872"/>
          </w:tcPr>
          <w:p>
            <w:r>
              <w:t>0.49 (0.42–0.57)</w:t>
            </w:r>
          </w:p>
        </w:tc>
        <w:tc>
          <w:tcPr>
            <w:tcW w:type="dxa" w:w="1872"/>
          </w:tcPr>
          <w:p>
            <w:r>
              <w:t>104.8</w:t>
            </w:r>
          </w:p>
        </w:tc>
        <w:tc>
          <w:tcPr>
            <w:tcW w:type="dxa" w:w="1872"/>
          </w:tcPr>
          <w:p>
            <w:r>
              <w:t>0.958</w:t>
            </w:r>
          </w:p>
        </w:tc>
        <w:tc>
          <w:tcPr>
            <w:tcW w:type="dxa" w:w="1872"/>
          </w:tcPr>
          <w:p>
            <w:r>
              <w:t>DFR (k&lt;1)</w:t>
            </w:r>
          </w:p>
        </w:tc>
      </w:tr>
    </w:tbl>
    <w:p>
      <w:pPr>
        <w:spacing w:before="280"/>
      </w:pPr>
    </w:p>
    <w:p>
      <w:pPr>
        <w:jc w:val="center"/>
      </w:pPr>
      <w:r>
        <w:drawing>
          <wp:inline xmlns:a="http://schemas.openxmlformats.org/drawingml/2006/main" xmlns:pic="http://schemas.openxmlformats.org/drawingml/2006/picture">
            <wp:extent cx="5486400" cy="7481455"/>
            <wp:docPr id="1" name="Picture 1"/>
            <wp:cNvGraphicFramePr>
              <a:graphicFrameLocks noChangeAspect="1"/>
            </wp:cNvGraphicFramePr>
            <a:graphic>
              <a:graphicData uri="http://schemas.openxmlformats.org/drawingml/2006/picture">
                <pic:pic>
                  <pic:nvPicPr>
                    <pic:cNvPr id="0" name="weibull_real_fits.png"/>
                    <pic:cNvPicPr/>
                  </pic:nvPicPr>
                  <pic:blipFill>
                    <a:blip r:embed="rId9"/>
                    <a:stretch>
                      <a:fillRect/>
                    </a:stretch>
                  </pic:blipFill>
                  <pic:spPr>
                    <a:xfrm>
                      <a:off x="0" y="0"/>
                      <a:ext cx="5486400" cy="7481455"/>
                    </a:xfrm>
                    <a:prstGeom prst="rect"/>
                  </pic:spPr>
                </pic:pic>
              </a:graphicData>
            </a:graphic>
          </wp:inline>
        </w:drawing>
      </w:r>
    </w:p>
    <w:p>
      <w:pPr>
        <w:spacing w:before="80"/>
      </w:pPr>
      <w:r>
        <w:rPr>
          <w:b/>
        </w:rPr>
        <w:t>Figure 1.</w:t>
      </w:r>
      <w:r>
        <w:t xml:space="preserve"> Weibull cumulative-incidence fits (red = increasing hazard, blue = decreasing hazard) to digitized dropout curves (points) for the seven eligible infectious-disease cohorts (two TB, five HIV/ART) plus a non-infectious antipsychotic contrast. Both the two TB cohorts and the HIV/ART cohorts split between IFR and DFR, so the hazard shape is heterogeneous within each disease.</w:t>
      </w:r>
    </w:p>
    <w:p>
      <w:r>
        <w:rPr>
          <w:b/>
          <w:sz w:val="26"/>
        </w:rPr>
        <w:t>Discussion</w:t>
      </w:r>
    </w:p>
    <w:p>
      <w:pPr>
        <w:spacing w:before="120"/>
      </w:pPr>
      <w:r>
        <w:t>The analysis puts a number on an accepted but qualitative problem and turns it in a practical direction. It is already known that treatment-interruption determinants are context-dependent</w:t>
      </w:r>
      <w:r>
        <w:rPr>
          <w:vertAlign w:val="superscript"/>
        </w:rPr>
        <w:t>2</w:t>
      </w:r>
      <w:r>
        <w:t xml:space="preserve"> and that retention interventions do not transfer cleanly between settings</w:t>
      </w:r>
      <w:r>
        <w:rPr>
          <w:vertAlign w:val="superscript"/>
        </w:rPr>
        <w:t>3</w:t>
      </w:r>
      <w:r>
        <w:t xml:space="preserve">; our contribution is to show that this heterogeneity is visible in the </w:t>
      </w:r>
      <w:r>
        <w:rPr>
          <w:b/>
        </w:rPr>
        <w:t>hazard shape itself</w:t>
      </w:r>
      <w:r>
        <w:t xml:space="preserve"> and, importantly, that it is not confined to a single disease. Both the two TB cohorts and the HIV/ART cohorts fell on opposite sides of k=1, so there was no characteristic ‘TB shape’ or ‘HIV shape’: the direction of the dropout hazard varied from cohort to cohort within the same disease. The direct implication is that retention is not a matter of exhorting patients to try harder, and the timing of support cannot be read off the diagnosis. Because the hazard shape encodes *when* patients disengage, it maps onto the timing of adherence support: a front-loaded (DFR) setting argues for concentrating counselling, financial or social support in the earliest weeks, whereas a late-accelerating (IFR) setting argues for sustained or intensified support later in treatment. A package optimized for one shape will be mistimed in the other — a concrete, quantitative reason why globally standardized adherence interventions have shown inconsistent effects</w:t>
      </w:r>
      <w:r>
        <w:rPr>
          <w:vertAlign w:val="superscript"/>
        </w:rPr>
        <w:t>3</w:t>
      </w:r>
      <w:r>
        <w:t>.</w:t>
      </w:r>
    </w:p>
    <w:p>
      <w:pPr>
        <w:spacing w:before="120"/>
      </w:pPr>
      <w:r>
        <w:t>This reframes retention design as a measurement problem before it is an intervention problem. Choosing a support package because it seems sensible, without first locating a setting's dropout hazard shape, risks both mistiming the support and losing the ability to tell whether it worked: an effect concentrated in the wrong phase of treatment can be invisible against the actual dropout dynamics. Estimating the shape first gives a pre-specified, falsifiable target — shift the hazard at the phase where dropout concentrates — against which an intervention can be evaluated. The Weibull cumulative-incidence model used here is a compact and reproducible way to obtain that shape from a single published curve.</w:t>
      </w:r>
    </w:p>
    <w:p>
      <w:pPr>
        <w:spacing w:before="120"/>
      </w:pPr>
      <w:r>
        <w:t>We cannot explain why the shapes diverge, and we do not claim to. The divergence is confounded with different outcome definitions (competing-risk cumulative incidence vs all-patient KM), case mix, programme context and unequal observation windows, and it rests on digitized aggregate curves rather than individual patient data. One candidate worth stating explicitly is the age structure of disease onset: TB in China is increasingly concentrated in the elderly</w:t>
      </w:r>
      <w:r>
        <w:rPr>
          <w:vertAlign w:val="superscript"/>
        </w:rPr>
        <w:t>11</w:t>
      </w:r>
      <w:r>
        <w:t>, whereas high-burden sub-Saharan settings such as Ethiopia are dominated by young adults, and age was itself a significant risk factor for LTFU in the Ethiopian TB cohort</w:t>
      </w:r>
      <w:r>
        <w:rPr>
          <w:vertAlign w:val="superscript"/>
        </w:rPr>
        <w:t>4</w:t>
      </w:r>
      <w:r>
        <w:t>. If the age-at-onset distribution governs competing mortality, comorbidity and the reasons patients disengage, it could plausibly determine whether the LTFU hazard rises or falls over the course of treatment. We stress that this is a hypothesis, not a result: our curves are aggregate and not age-stratified, so neither an age-at-onset distribution nor an age-by-LTFU-timing interaction can be fitted here without inventing data. Testing it would require age-stratified time-to-LTFU curves or individual patient data.</w:t>
      </w:r>
    </w:p>
    <w:p>
      <w:r>
        <w:rPr>
          <w:b/>
          <w:sz w:val="26"/>
        </w:rPr>
        <w:t>Limitations</w:t>
      </w:r>
    </w:p>
    <w:p>
      <w:pPr>
        <w:spacing w:before="120"/>
      </w:pPr>
      <w:r>
        <w:t>This is a pragmatic scoping study, not a fully registered dual-reviewer scoping review: the search was limited to open-access, English-language Europe PMC records mentioning a time-to-event curve, and screening against the eligibility criterion was performed pragmatically rather than by independent duplicate assessment, so the count of eligible curves is a lower bound and some eligible curves in other databases or languages will have been missed. Only seven time-resolved infectious-disease dropout curves met our bar, so the shape analysis is small and hypothesis-generating rather than confirmatory, and it cannot yet establish a shape for any disease. Estimates come from digitized aggregate curves, not individual patient data; the Ethiopian TB estimate is a competing-risk *subdistribution*-hazard shape; the Gambella HIV curve is plotted from an analysis time of one year, so its shape describes only the observed window; the antipsychotic cohort is small (n≈42), illustrative and outside the infectious-disease setting; and terminal KM steps and plateaus reflect administrative censoring. Different outcome definitions and follow-up windows across sources further limit direct comparison of the fitted scale parameters, although the shape parameter k is unit-free.</w:t>
      </w:r>
    </w:p>
    <w:p>
      <w:r>
        <w:rPr>
          <w:b/>
          <w:sz w:val="26"/>
        </w:rPr>
        <w:t>Conclusions</w:t>
      </w:r>
    </w:p>
    <w:p>
      <w:pPr>
        <w:spacing w:before="120"/>
      </w:pPr>
      <w:r>
        <w:t>Across the treatment cohorts that publish a time-resolved LTFU curve, the Weibull hazard shape is heterogeneous within TB and within HIV alike: cohorts of the same disease fell on opposite sides of a constant hazard. When patients disengage therefore cannot be inferred from the diagnosis or from intuition, and retention support should be timed to each setting's empirically measured dropout hazard shape — which also makes its effect verifiable. Because the openly available evidence is still too sparse to fix these shapes, routine reporting of time-to-LTFU curves, and ideally individual patient data with harmonized LTFU definitions, is needed so that dropout patterns and the interventions matched to them can be established and tested.</w:t>
      </w:r>
    </w:p>
    <w:p>
      <w:r>
        <w:rPr>
          <w:b/>
          <w:sz w:val="26"/>
        </w:rPr>
        <w:t>Declarations</w:t>
      </w:r>
    </w:p>
    <w:p>
      <w:pPr>
        <w:spacing w:before="120"/>
      </w:pPr>
      <w:r>
        <w:rPr>
          <w:b/>
        </w:rPr>
        <w:t>Ethics approval and consent to participate</w:t>
      </w:r>
      <w:r>
        <w:t xml:space="preserve"> Not applicable. This study is a secondary analysis of aggregate, already-published, de-identified survival curves and involved no new human participants or individual-level data.</w:t>
      </w:r>
    </w:p>
    <w:p>
      <w:pPr>
        <w:spacing w:before="80"/>
      </w:pPr>
      <w:r>
        <w:rPr>
          <w:b/>
        </w:rPr>
        <w:t>Consent for publication</w:t>
      </w:r>
      <w:r>
        <w:t xml:space="preserve"> Not applicable.</w:t>
      </w:r>
    </w:p>
    <w:p>
      <w:pPr>
        <w:spacing w:before="80"/>
      </w:pPr>
      <w:r>
        <w:rPr>
          <w:b/>
        </w:rPr>
        <w:t>Clinical trial number</w:t>
      </w:r>
      <w:r>
        <w:t xml:space="preserve"> Not applicable.</w:t>
      </w:r>
    </w:p>
    <w:p>
      <w:pPr>
        <w:spacing w:before="80"/>
      </w:pPr>
      <w:r>
        <w:rPr>
          <w:b/>
        </w:rPr>
        <w:t>Availability of data and materials</w:t>
      </w:r>
      <w:r>
        <w:t xml:space="preserve"> All source figures, digitized CSV datasets, analysis code and a one-command build that regenerates every reported number, Table 1 and Figure 1 are openly available in the project repository. No result is hard-coded; every value is reproduced from the source data by the released code.</w:t>
      </w:r>
    </w:p>
    <w:p>
      <w:pPr>
        <w:spacing w:before="80"/>
      </w:pPr>
      <w:r>
        <w:rPr>
          <w:b/>
        </w:rPr>
        <w:t>Competing interests</w:t>
      </w:r>
      <w:r>
        <w:t xml:space="preserve"> The authors declare that they have no competing interests.</w:t>
      </w:r>
    </w:p>
    <w:p>
      <w:pPr>
        <w:spacing w:before="80"/>
      </w:pPr>
      <w:r>
        <w:rPr>
          <w:b/>
        </w:rPr>
        <w:t>Funding</w:t>
      </w:r>
      <w:r>
        <w:t xml:space="preserve"> This study received no specific funding.</w:t>
      </w:r>
    </w:p>
    <w:p>
      <w:pPr>
        <w:spacing w:before="80"/>
      </w:pPr>
      <w:r>
        <w:rPr>
          <w:b/>
        </w:rPr>
        <w:t>Authors' contributions</w:t>
      </w:r>
      <w:r>
        <w:t xml:space="preserve"> The author(s) conceived the study, digitized the source curves, implemented the analysis and wrote the manuscript. All authors read and approved the final manuscript.</w:t>
      </w:r>
    </w:p>
    <w:p>
      <w:pPr>
        <w:spacing w:before="80"/>
      </w:pPr>
      <w:r>
        <w:rPr>
          <w:b/>
        </w:rPr>
        <w:t>Acknowledgements</w:t>
      </w:r>
      <w:r>
        <w:t xml:space="preserve"> Not applicable.</w:t>
      </w:r>
    </w:p>
    <w:p>
      <w:r>
        <w:rPr>
          <w:b/>
          <w:sz w:val="26"/>
        </w:rPr>
        <w:t>References</w:t>
      </w:r>
    </w:p>
    <w:p>
      <w:pPr>
        <w:spacing w:before="60"/>
      </w:pPr>
      <w:r>
        <w:t>1. World Health Organization. Global Tuberculosis Report 2024. Geneva: WHO; 2024.</w:t>
      </w:r>
    </w:p>
    <w:p>
      <w:pPr>
        <w:spacing w:before="60"/>
      </w:pPr>
      <w:r>
        <w:t>2. Tsibiyane M, Faye LM, Ndayi K, Sineke N, Tyeshani L, Faleni M, et al. Multilevel determinants of tuberculosis treatment interruption in rural South Africa: insights from primary healthcare nurses. Int J Environ Res Public Health. 2026;23(5):598. doi:10.3390/ijerph23050598.</w:t>
      </w:r>
    </w:p>
    <w:p>
      <w:pPr>
        <w:spacing w:before="60"/>
      </w:pPr>
      <w:r>
        <w:t>3. Kedthongma W, Usaprom S, Phakdeekul W. Community-based interventions to improve tuberculosis treatment outcomes: a meta-analysis. MethodsX. 2026;16:103893. doi:10.1016/j.mex.2026.103893.</w:t>
      </w:r>
    </w:p>
    <w:p>
      <w:pPr>
        <w:spacing w:before="60"/>
      </w:pPr>
      <w:r>
        <w:t>4. Fufa DB, Diriba TA, Dame KT, Debusho LK. Competing risk models to evaluate the factors for time to loss to follow-up among tuberculosis patients at Ambo General Hospital. Arch Public Health. 2023;81:113. doi:10.1186/s13690-023-01130-2.</w:t>
      </w:r>
    </w:p>
    <w:p>
      <w:pPr>
        <w:spacing w:before="60"/>
      </w:pPr>
      <w:r>
        <w:t>5. Jiang Y, Chen J, Ying M, Liu L, Li M, Lu S, et al. Factors associated with loss to follow-up before and after treatment initiation among patients with tuberculosis: a 5-year observation in China. Front Med. 2023;10:1136094. doi:10.3389/fmed.2023.1136094.</w:t>
      </w:r>
    </w:p>
    <w:p>
      <w:pPr>
        <w:spacing w:before="60"/>
      </w:pPr>
      <w:r>
        <w:t>6. Daba O, Tsegaye D, Reshad M. Incidence and predictors of loss to follow-up among ART patients on follow-up at public health facilities in Southwest Ethiopia: a time-to-event analysis. J Int Assoc Provid AIDS Care. 2026;25:23259582261426232. doi:10.1177/23259582261426232.</w:t>
      </w:r>
    </w:p>
    <w:p>
      <w:pPr>
        <w:spacing w:before="60"/>
      </w:pPr>
      <w:r>
        <w:t>7. Mateus A, Waldman EA. Retention and predictors of loss-to-follow-up among patients on antiretroviral therapy in the Test-and-Treat Era: evidence from a retrospective cohort study in Maputo, Mozambique. BMC Infect Dis. 2026;26:667. doi:10.1186/s12879-026-12949-9.</w:t>
      </w:r>
    </w:p>
    <w:p>
      <w:pPr>
        <w:spacing w:before="60"/>
      </w:pPr>
      <w:r>
        <w:t>8. Makonokaya L, Dunga S, Kalitera L, Chamanga R, Msuku L, Golowa C, et al. Retention in HIV care before and after implementation of a case management program in Malawi. BMC Public Health. 2026;26:1615. doi:10.1186/s12889-026-27295-3.</w:t>
      </w:r>
    </w:p>
    <w:p>
      <w:pPr>
        <w:spacing w:before="60"/>
      </w:pPr>
      <w:r>
        <w:t>9. Dorgi A, Tunje A, Shimbre MS, Belete AG, Guyo TG, Bodicha BB, et al. Incidence and predictors of loss to follow-up among youth living with HIV transitioning to adult care in Gambella, Southwest Ethiopia. BMC Infect Dis. 2026;26:336. doi:10.1186/s12879-026-12596-0.</w:t>
      </w:r>
    </w:p>
    <w:p>
      <w:pPr>
        <w:spacing w:before="60"/>
      </w:pPr>
      <w:r>
        <w:t>10. Salas Aranda P, Garcia Cerdan C, Martin Gomez C, Lorenzo Romo C, Turrion Gomez M, Isidoro Garcia M, et al. Time to discontinuation in routine clinical practice of the initially prescribed antipsychotic treatment in patients with first-episode psychosis. Eur Psychiatry. 2025;68(Suppl):PMC12437960.</w:t>
      </w:r>
    </w:p>
    <w:p>
      <w:pPr>
        <w:spacing w:before="60"/>
      </w:pPr>
      <w:r>
        <w:t>11. Yu Y, Xian S, Yang D, Mu L, Han Y, Luo W, et al. Temporal trends in tuberculosis incidence among the aging population in Southwest China: a retrospective study. BMC Geriatr. 2026;26:373. doi:10.1186/s12877-026-07373-2.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