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[Author name]</w:t>
      </w:r>
    </w:p>
    <w:p>
      <w:pPr>
        <w:spacing w:after="40"/>
      </w:pPr>
      <w:r>
        <w:t>[Department, institution, city, postal code, country]</w:t>
      </w:r>
    </w:p>
    <w:p>
      <w:pPr>
        <w:spacing w:after="40"/>
      </w:pPr>
      <w:r>
        <w:t>[Corresponding author email]</w:t>
      </w:r>
    </w:p>
    <w:p>
      <w:pPr>
        <w:spacing w:after="40"/>
      </w:pPr>
      <w:r>
        <w:t>ORCID: [ORCID]</w:t>
      </w:r>
    </w:p>
    <w:p>
      <w:pPr>
        <w:spacing w:after="40"/>
      </w:pPr>
      <w:r>
        <w:t>10 July 2026</w:t>
      </w:r>
    </w:p>
    <w:p/>
    <w:p>
      <w:r>
        <w:t>Editor-in-Chief</w:t>
      </w:r>
    </w:p>
    <w:p>
      <w:r>
        <w:t>International Journal of Critical Infrastructure Protection</w:t>
      </w:r>
    </w:p>
    <w:p>
      <w:r>
        <w:t>Elsevier</w:t>
      </w:r>
    </w:p>
    <w:p/>
    <w:p>
      <w:r>
        <w:t>Dear Editor-in-Chief,</w:t>
      </w:r>
    </w:p>
    <w:p>
      <w:pPr>
        <w:jc w:val="both"/>
      </w:pPr>
      <w:r>
        <w:t>I submit the manuscript, “Discharged Secrets: Lifecycle Telemetry and Supply-Chain Exposure in Serviced Hardware for Critical Infrastructure,” for consideration as a full-length article in the International Journal of Critical Infrastructure Protection.</w:t>
      </w:r>
    </w:p>
    <w:p>
      <w:pPr>
        <w:jc w:val="both"/>
      </w:pPr>
      <w:r>
        <w:t>The manuscript addresses a procurement and lifecycle-security gap that cuts across transportation systems, government facilities, the defense industrial base, commercial facilities, and information technology. It defines serviced telemetry-emitting hardware: connected equipment used by an organization that does not fully control the hardware, software, service backend, maintenance, or disposition. Shared micromobility is used as an illustrative case, but the framework applies to leased sensors, fleet equipment, smart lockers, inspection devices, wearables, charging systems, and other externally serviced assets.</w:t>
      </w:r>
    </w:p>
    <w:p>
      <w:pPr>
        <w:jc w:val="both"/>
      </w:pPr>
      <w:r>
        <w:t>The article's principal contribution is a structured synthesis linking mobility re-identification, battery side channels, battery-management history, service custody, and cybersecurity supply-chain guidance. It proposes a six-stage lifecycle exposure model and translates it into auditable controls for procurement, operation, maintenance, emergency recall, and disposition. The analysis distinguishes demonstrated capabilities from conditional transfer and does not allege compromise or misconduct by the organization or service provider in the Japanese policy vignette.</w:t>
      </w:r>
    </w:p>
    <w:p>
      <w:pPr>
        <w:jc w:val="both"/>
      </w:pPr>
      <w:r>
        <w:t>The manuscript fits the journal's stated interest in work that combines science, technology, law, and policy to produce practical solutions for critical-infrastructure protection. Its control matrix is intended for infrastructure owners, public procurement teams, security practitioners, and service providers.</w:t>
      </w:r>
    </w:p>
    <w:p>
      <w:pPr>
        <w:jc w:val="both"/>
      </w:pPr>
      <w:r>
        <w:t>I confirm that the manuscript is original, has not been published, and is not under consideration elsewhere. No human-participant research was conducted, no new dataset was generated, and there is no funding or competing interest to declare. All references were checked for existence and correspondence with the claims made. The submission includes an anonymized manuscript, separate title page, highlights, high-resolution and editable artwork, editable tables, and a compliance checklist.</w:t>
      </w:r>
    </w:p>
    <w:p>
      <w:pPr>
        <w:jc w:val="both"/>
      </w:pPr>
      <w:r>
        <w:t>Thank you for considering this manuscript.</w:t>
      </w:r>
    </w:p>
    <w:p>
      <w:r>
        <w:t>Sincerely,</w:t>
      </w:r>
    </w:p>
    <w:p>
      <w:r>
        <w:t>[Author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