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Highlights</w:t>
      </w:r>
    </w:p>
    <w:p>
      <w:pPr>
        <w:pStyle w:val="ListBullet"/>
      </w:pPr>
      <w:r>
        <w:t>Serviced hardware creates exposure beyond network connectivity.</w:t>
      </w:r>
    </w:p>
    <w:p>
      <w:pPr>
        <w:pStyle w:val="ListBullet"/>
      </w:pPr>
      <w:r>
        <w:t>Battery telemetry can reveal identity, occupancy, and operating patterns.</w:t>
      </w:r>
    </w:p>
    <w:p>
      <w:pPr>
        <w:pStyle w:val="ListBullet"/>
      </w:pPr>
      <w:r>
        <w:t>Maintenance, recalls, and disposal create recurring custody gaps.</w:t>
      </w:r>
    </w:p>
    <w:p>
      <w:pPr>
        <w:pStyle w:val="ListBullet"/>
      </w:pPr>
      <w:r>
        <w:t>A lifecycle model links evidence to auditable procurement controls.</w:t>
      </w:r>
    </w:p>
    <w:p>
      <w:pPr>
        <w:pStyle w:val="ListBullet"/>
      </w:pPr>
      <w:r>
        <w:t>Controls scale from sensitive sites to civilian infrastructure fleets.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