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Reporting Guideline Statement</w:t>
      </w:r>
    </w:p>
    <w:p>
      <w:pPr>
        <w:jc w:val="both"/>
      </w:pPr>
      <w:r>
        <w:t>Article design: conceptual critical-infrastructure policy analysis supported by a structured evidence synthesis. The manuscript does not report a clinical trial, observational study, diagnostic-accuracy study, case report, qualitative interview study, animal study, economic evaluation, or systematic review.</w:t>
      </w:r>
    </w:p>
    <w:p>
      <w:pPr>
        <w:jc w:val="both"/>
      </w:pPr>
      <w:r>
        <w:t>Accordingly, CONSORT, STROBE, STARD, CARE, COREQ, ARRIVE, CHEERS, and PRISMA checklists are not applicable. The reviewed IJCIP and Elsevier instructions did not identify a separate EQUATOR checklist for this article design.</w:t>
      </w:r>
    </w:p>
    <w:p>
      <w:pPr>
        <w:jc w:val="both"/>
      </w:pPr>
      <w:r>
        <w:t>Transparency measures used instead: the manuscript defines the unit of analysis; states the four evidence questions; distinguishes direct demonstration from mechanism-based transfer; identifies the source types used; separates the illustrative Japanese policy vignette from empirical evidence; provides a claim-to-evidence table; states limitations; lists all references; and includes funding, competing-interest, ethics, data-availability, author-contribution, and generative-artificial-intelligence disclosures.</w:t>
      </w:r>
    </w:p>
    <w:p>
      <w:pPr>
        <w:jc w:val="both"/>
      </w:pPr>
      <w:r>
        <w:t>This statement should be uploaded as supplementary submission information only if the Editorial Manager portal requests a reporting-guideline document. It is not part of the anonymized manuscript.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b/>
              </w:rPr>
              <w:t>Guideline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Study type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CONSORT</w:t>
            </w:r>
          </w:p>
        </w:tc>
        <w:tc>
          <w:tcPr>
            <w:tcW w:type="dxa" w:w="3120"/>
          </w:tcPr>
          <w:p>
            <w:r>
              <w:t>Randomized trials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  <w:tr>
        <w:tc>
          <w:tcPr>
            <w:tcW w:type="dxa" w:w="3120"/>
          </w:tcPr>
          <w:p>
            <w:r>
              <w:t>STROBE</w:t>
            </w:r>
          </w:p>
        </w:tc>
        <w:tc>
          <w:tcPr>
            <w:tcW w:type="dxa" w:w="3120"/>
          </w:tcPr>
          <w:p>
            <w:r>
              <w:t>Observational studies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  <w:tr>
        <w:tc>
          <w:tcPr>
            <w:tcW w:type="dxa" w:w="3120"/>
          </w:tcPr>
          <w:p>
            <w:r>
              <w:t>PRISMA</w:t>
            </w:r>
          </w:p>
        </w:tc>
        <w:tc>
          <w:tcPr>
            <w:tcW w:type="dxa" w:w="3120"/>
          </w:tcPr>
          <w:p>
            <w:r>
              <w:t>Systematic reviews and meta-analyses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  <w:tr>
        <w:tc>
          <w:tcPr>
            <w:tcW w:type="dxa" w:w="3120"/>
          </w:tcPr>
          <w:p>
            <w:r>
              <w:t>COREQ</w:t>
            </w:r>
          </w:p>
        </w:tc>
        <w:tc>
          <w:tcPr>
            <w:tcW w:type="dxa" w:w="3120"/>
          </w:tcPr>
          <w:p>
            <w:r>
              <w:t>Qualitative interview/focus-group studies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  <w:tr>
        <w:tc>
          <w:tcPr>
            <w:tcW w:type="dxa" w:w="3120"/>
          </w:tcPr>
          <w:p>
            <w:r>
              <w:t>CHEERS</w:t>
            </w:r>
          </w:p>
        </w:tc>
        <w:tc>
          <w:tcPr>
            <w:tcW w:type="dxa" w:w="3120"/>
          </w:tcPr>
          <w:p>
            <w:r>
              <w:t>Health economic evaluations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  <w:tr>
        <w:tc>
          <w:tcPr>
            <w:tcW w:type="dxa" w:w="3120"/>
          </w:tcPr>
          <w:p>
            <w:r>
              <w:t>ARRIVE</w:t>
            </w:r>
          </w:p>
        </w:tc>
        <w:tc>
          <w:tcPr>
            <w:tcW w:type="dxa" w:w="3120"/>
          </w:tcPr>
          <w:p>
            <w:r>
              <w:t>Animal research</w:t>
            </w:r>
          </w:p>
        </w:tc>
        <w:tc>
          <w:tcPr>
            <w:tcW w:type="dxa" w:w="3120"/>
          </w:tcPr>
          <w:p>
            <w:r>
              <w:t>Not applicable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