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Editable tables</w:t>
      </w:r>
    </w:p>
    <w:p>
      <w:pPr>
        <w:spacing w:before="280" w:after="120"/>
      </w:pPr>
      <w:r>
        <w:rPr>
          <w:b/>
        </w:rPr>
        <w:t>Table 1. Evidence supporting the serviced-hardware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domain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Demonstrated capability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Transfer to serviced hardware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Boundary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Human mobility traces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Sparse spatiotemporal points can uniquely characterize individuals [4].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Repeated vehicle events may be joined with schedules or access data.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 for mobility data; identity requires auxiliary information.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micromobility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Longitudinal vehicle activity can be reconstructed despite identifier changes [5].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Fleet telemetry can preserve continuity around a facility.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 for studied services; architecture differs by operator.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side channels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Electric-vehicle battery consumption revealed driver, style, occupancy, and habitual endpoints [11].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or controller data may expose recurring operational patterns.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 for electric-vehicle datasets; conditional on resolution and access.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Electrical load inference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Power signatures can reveal appliance use and behavior [12,13].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Supports inference from non-positional telemetry.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Mechanism analogy; not proof for every device.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BMS history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Health and forensic analysis use cycle, voltage, current, and temperature history [14-16].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Retained records may remain informative during service or return.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depth and storage location are implementation-specific.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Lifecycle custody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Supply-chain and IoT guidance treats access, logging, support, and sanitization as lifecycle controls [19-23].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Maintenance, recall, and disposal require explicit assurance.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Normative guidance; effectiveness requires verification.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2. Lifecycle controls and auditable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Control objective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Minimum requirement</w:t>
            </w:r>
          </w:p>
        </w:tc>
        <w:tc>
          <w:tcPr>
            <w:tcW w:type="dxa" w:w="2340"/>
            <w:shd w:fill="D9EAF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of compliance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Procurement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Establish visibility before deployment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inventory; component and software provenance; sub-processor and jurisdiction list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Architecture diagram; software bill of materials; supplier attestations; contract schedules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Deployment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Bind device to approved context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Hardened configuration; disabled unnecessary interfaces; approved identifiers and zones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Configuration record; acceptance test; asset registration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Minimize and contain telemetry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Purpose limitation; local processing where feasible; bounded retention; least privilege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Field-level schema; retention test; access logs; deletion evidence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 diagnostic and physical access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Vetted staff; authorized tools; logged sessions; chain of custody; tamper evidence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Work order; access log; tool inventory; custody receipt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Recall/return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Prevent emergency return from bypassing security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Data-bearing component check; approved recipient; sanitize, escrow, or controlled retention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 playbook; transfer authorization; sanitization or legal-hold record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 life/disposal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Remove residual data and credentials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Verified sanitization of all components; key revocation; controlled recycler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Sanitization certificate; revocation log; recycler audit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Continuous assurance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Detect changes in supplier or architecture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Incident notice; vulnerability support; material-change approval; periodic reassessment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records; support dates; audit report; change notifications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