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3266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The FY2022 data predate the 2026 clarification of the general-anaesthesia billing code, so any residual coding ambiguity present at that time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w:t>
      </w:r>
      <w:r>
        <w:rPr>
          <w:rFonts w:ascii="Times New Roman" w:hAnsi="Times New Roman"/>
          <w:sz w:val="24"/>
          <w:vertAlign w:val="superscript"/>
        </w:rPr>
        <w:t>2</w:t>
      </w:r>
      <w:r>
        <w:rPr>
          <w:rFonts w:ascii="Times New Roman" w:hAnsi="Times New Roman"/>
          <w:sz w:val="24"/>
        </w:rPr>
        <w:t>) measured the decrease in total (prefecture-level plus residual) variance after adding the university-hospital fixed effect. We decomposed within-prefecture variance into components attributable to university-hospital presence and residual variation. We conducted four sensitivity analyses to test the audit hypothesis: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β = 64.1, 95% confidence interval 54.8 to 73.4) and was statistically significant for every code (all P &lt;0.001) (Table 2). A log-transformed sensitivity model yielded the same direction of association for general anaesthesia (β = 0.75, 95% CI 0.61 to 0.89, P &lt;0.001), supporting the robustness of the linear model findings to right-skewed ratios and extreme outliers.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pre-specified sensitivity analyses pointed away from differential auditing as the main explanation.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correlated (r = 0.235, P &lt;0.001), as were general and epidural anaesthesia (r = 0.319, P &lt;0.001).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All pre-specified sensitivity analyses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