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STROBE Statement — Checklist of Items for Reports of Cross-Sectional Studies</w:t>
      </w:r>
    </w:p>
    <w:p>
      <w:r>
        <w:rPr>
          <w:i/>
        </w:rPr>
        <w:t>Applied to: "Network Exclusion and State Collapse: From Maritime Isolation to Technological Access Denial in the Long Run of History"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737"/>
            <w:shd w:fill="D9E2F3" w:val="clear"/>
          </w:tcPr>
          <w:p>
            <w:pPr>
              <w:jc w:val="center"/>
            </w:pPr>
            <w:r>
              <w:rPr>
                <w:b/>
                <w:sz w:val="16"/>
              </w:rPr>
              <w:t>Item No.</w:t>
            </w:r>
          </w:p>
        </w:tc>
        <w:tc>
          <w:tcPr>
            <w:tcW w:type="dxa" w:w="1417"/>
            <w:shd w:fill="D9E2F3" w:val="clear"/>
          </w:tcPr>
          <w:p>
            <w:pPr>
              <w:jc w:val="center"/>
            </w:pPr>
            <w:r>
              <w:rPr>
                <w:b/>
                <w:sz w:val="16"/>
              </w:rPr>
              <w:t>Section/Topic</w:t>
            </w:r>
          </w:p>
        </w:tc>
        <w:tc>
          <w:tcPr>
            <w:tcW w:type="dxa" w:w="3685"/>
            <w:shd w:fill="D9E2F3" w:val="clear"/>
          </w:tcPr>
          <w:p>
            <w:pPr>
              <w:jc w:val="center"/>
            </w:pPr>
            <w:r>
              <w:rPr>
                <w:b/>
                <w:sz w:val="16"/>
              </w:rPr>
              <w:t>STROBE Recommendation</w:t>
            </w:r>
          </w:p>
        </w:tc>
        <w:tc>
          <w:tcPr>
            <w:tcW w:type="dxa" w:w="1701"/>
            <w:shd w:fill="D9E2F3" w:val="clear"/>
          </w:tcPr>
          <w:p>
            <w:pPr>
              <w:jc w:val="center"/>
            </w:pPr>
            <w:r>
              <w:rPr>
                <w:b/>
                <w:sz w:val="16"/>
              </w:rPr>
              <w:t>Reported in</w:t>
            </w:r>
          </w:p>
        </w:tc>
        <w:tc>
          <w:tcPr>
            <w:tcW w:type="dxa" w:w="2948"/>
            <w:shd w:fill="D9E2F3" w:val="clear"/>
          </w:tcPr>
          <w:p>
            <w:pPr>
              <w:jc w:val="center"/>
            </w:pPr>
            <w:r>
              <w:rPr>
                <w:b/>
                <w:sz w:val="16"/>
              </w:rPr>
              <w:t>Comment / How Addressed</w:t>
            </w:r>
          </w:p>
        </w:tc>
      </w:tr>
      <w:tr>
        <w:tc>
          <w:tcPr>
            <w:tcW w:type="dxa" w:w="737"/>
          </w:tcPr>
          <w:p>
            <w:r>
              <w:rPr>
                <w:sz w:val="16"/>
              </w:rPr>
              <w:t>1(a)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Title and abstract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Indicate the study's design with a commonly used term in the title or the abstract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Title page; Abstract</w:t>
            </w:r>
          </w:p>
        </w:tc>
        <w:tc>
          <w:tcPr>
            <w:tcW w:type="dxa" w:w="2948"/>
          </w:tcPr>
          <w:p>
            <w:r>
              <w:rPr>
                <w:sz w:val="16"/>
              </w:rPr>
              <w:t>Title indicates scope ("in the Long Run of History"); Abstract describes comparative historical design (N=96 polities, six eras)</w:t>
            </w:r>
          </w:p>
        </w:tc>
      </w:tr>
      <w:tr>
        <w:tc>
          <w:tcPr>
            <w:tcW w:type="dxa" w:w="737"/>
          </w:tcPr>
          <w:p>
            <w:r>
              <w:rPr>
                <w:sz w:val="16"/>
              </w:rPr>
              <w:t>1(b)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Title and abstract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Provide in the abstract an informative and balanced summary of what was done and what was found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Abstract</w:t>
            </w:r>
          </w:p>
        </w:tc>
        <w:tc>
          <w:tcPr>
            <w:tcW w:type="dxa" w:w="2948"/>
          </w:tcPr>
          <w:p>
            <w:r>
              <w:rPr>
                <w:sz w:val="16"/>
              </w:rPr>
              <w:t>Abstract reports methods (Fisher test, logistic regression, bootstrap), key results (p=0.020, OR=1.774), and interpretation</w:t>
            </w:r>
          </w:p>
        </w:tc>
      </w:tr>
      <w:tr>
        <w:tc>
          <w:tcPr>
            <w:tcW w:type="dxa" w:w="73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Background/rationale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Explain the scientific background and rationale for the investigation being reported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Section 1 (Introduction)</w:t>
            </w:r>
          </w:p>
        </w:tc>
        <w:tc>
          <w:tcPr>
            <w:tcW w:type="dxa" w:w="2948"/>
          </w:tcPr>
          <w:p>
            <w:r>
              <w:rPr>
                <w:sz w:val="16"/>
              </w:rPr>
              <w:t>Reviews literature on trade openness and state survival; identifies gap in treatment of involuntary isolation</w:t>
            </w:r>
          </w:p>
        </w:tc>
      </w:tr>
      <w:tr>
        <w:tc>
          <w:tcPr>
            <w:tcW w:type="dxa" w:w="73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Objectives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State specific objectives, including any prespecified hypotheses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Section 1 (Introduction), ¶3</w:t>
            </w:r>
          </w:p>
        </w:tc>
        <w:tc>
          <w:tcPr>
            <w:tcW w:type="dxa" w:w="2948"/>
          </w:tcPr>
          <w:p>
            <w:r>
              <w:rPr>
                <w:sz w:val="16"/>
              </w:rPr>
              <w:t>Three contributions stated: (1) construct comparative dataset, (2) introduce technical network exclusion concept, (3) conduct sensitivity analysis</w:t>
            </w:r>
          </w:p>
        </w:tc>
      </w:tr>
      <w:tr>
        <w:tc>
          <w:tcPr>
            <w:tcW w:type="dxa" w:w="73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Study design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Present key elements of study design early in the paper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Section 2 (Data and Classification)</w:t>
            </w:r>
          </w:p>
        </w:tc>
        <w:tc>
          <w:tcPr>
            <w:tcW w:type="dxa" w:w="2948"/>
          </w:tcPr>
          <w:p>
            <w:r>
              <w:rPr>
                <w:sz w:val="16"/>
              </w:rPr>
              <w:t>Cross-sectional comparative design with 96 polities; variables defined; classification framework presented</w:t>
            </w:r>
          </w:p>
        </w:tc>
      </w:tr>
      <w:tr>
        <w:tc>
          <w:tcPr>
            <w:tcW w:type="dxa" w:w="73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Setting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Describe the setting, locations, and relevant dates, including periods of recruitment, exposure, follow-up, and data collection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Section 2.1</w:t>
            </w:r>
          </w:p>
        </w:tc>
        <w:tc>
          <w:tcPr>
            <w:tcW w:type="dxa" w:w="2948"/>
          </w:tcPr>
          <w:p>
            <w:r>
              <w:rPr>
                <w:sz w:val="16"/>
              </w:rPr>
              <w:t>Six eras from antiquity to contemporary; each polity assigned period of existence; full details in Table S1</w:t>
            </w:r>
          </w:p>
        </w:tc>
      </w:tr>
      <w:tr>
        <w:tc>
          <w:tcPr>
            <w:tcW w:type="dxa" w:w="737"/>
          </w:tcPr>
          <w:p>
            <w:r>
              <w:rPr>
                <w:sz w:val="16"/>
              </w:rPr>
              <w:t>6(a)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Participants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Give the eligibility criteria, and the sources and methods of selection of participants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Section 2.1</w:t>
            </w:r>
          </w:p>
        </w:tc>
        <w:tc>
          <w:tcPr>
            <w:tcW w:type="dxa" w:w="2948"/>
          </w:tcPr>
          <w:p>
            <w:r>
              <w:rPr>
                <w:sz w:val="16"/>
              </w:rPr>
              <w:t>Polities selected from standard reference works (Findlay &amp; O'Rourke 2007; Kennedy 1987; Turchin 2009); inclusion criteria: identifiable dominant strategy and outcome</w:t>
            </w:r>
          </w:p>
        </w:tc>
      </w:tr>
      <w:tr>
        <w:tc>
          <w:tcPr>
            <w:tcW w:type="dxa" w:w="73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Variables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Clearly define all outcomes, exposures, predictors, potential confounders, and effect modifiers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Section 2.1, 2.2</w:t>
            </w:r>
          </w:p>
        </w:tc>
        <w:tc>
          <w:tcPr>
            <w:tcW w:type="dxa" w:w="2948"/>
          </w:tcPr>
          <w:p>
            <w:r>
              <w:rPr>
                <w:sz w:val="16"/>
              </w:rPr>
              <w:t>Outcome: overtaken/disrupted/survived; Exposure: closure type (5 categories); Covariates: era, geographic barrier, external threat, institutional quality, tech position, regime duration, external patron</w:t>
            </w:r>
          </w:p>
        </w:tc>
      </w:tr>
      <w:tr>
        <w:tc>
          <w:tcPr>
            <w:tcW w:type="dxa" w:w="737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Data sources/measurement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For each variable of interest, give sources of data and details of methods of assessment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Section 2.1; Table S1</w:t>
            </w:r>
          </w:p>
        </w:tc>
        <w:tc>
          <w:tcPr>
            <w:tcW w:type="dxa" w:w="2948"/>
          </w:tcPr>
          <w:p>
            <w:r>
              <w:rPr>
                <w:sz w:val="16"/>
              </w:rPr>
              <w:t>Coding based on historical reference works; each polity's turning-point event documented in Table S1</w:t>
            </w:r>
          </w:p>
        </w:tc>
      </w:tr>
      <w:tr>
        <w:tc>
          <w:tcPr>
            <w:tcW w:type="dxa" w:w="73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Bias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Describe any efforts to address potential sources of bias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Section 3; Section 6</w:t>
            </w:r>
          </w:p>
        </w:tc>
        <w:tc>
          <w:tcPr>
            <w:tcW w:type="dxa" w:w="2948"/>
          </w:tcPr>
          <w:p>
            <w:r>
              <w:rPr>
                <w:sz w:val="16"/>
              </w:rPr>
              <w:t>Sensitivity analysis with 6 scenarios (3 reclassification × 2 disrupted assignment) to test coding robustness; Discussion section addresses selection bias and survivor bias</w:t>
            </w:r>
          </w:p>
        </w:tc>
      </w:tr>
      <w:tr>
        <w:tc>
          <w:tcPr>
            <w:tcW w:type="dxa" w:w="73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Study size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Explain how the study size was arrived at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Section 2.1</w:t>
            </w:r>
          </w:p>
        </w:tc>
        <w:tc>
          <w:tcPr>
            <w:tcW w:type="dxa" w:w="2948"/>
          </w:tcPr>
          <w:p>
            <w:r>
              <w:rPr>
                <w:sz w:val="16"/>
              </w:rPr>
              <w:t>N=96 polities from comprehensive survey of historical polities across six eras; not sample-based but census of major historical entities</w:t>
            </w:r>
          </w:p>
        </w:tc>
      </w:tr>
      <w:tr>
        <w:tc>
          <w:tcPr>
            <w:tcW w:type="dxa" w:w="737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Quantitative variables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Explain how quantitative variables were handled in the analyses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Section 3</w:t>
            </w:r>
          </w:p>
        </w:tc>
        <w:tc>
          <w:tcPr>
            <w:tcW w:type="dxa" w:w="2948"/>
          </w:tcPr>
          <w:p>
            <w:r>
              <w:rPr>
                <w:sz w:val="16"/>
              </w:rPr>
              <w:t>Binary outcome (overtaken vs. survived) constructed from 3-class outcome; two approaches for 'disrupted' category (as conquered / as survived); continuous covariates described</w:t>
            </w:r>
          </w:p>
        </w:tc>
      </w:tr>
      <w:tr>
        <w:tc>
          <w:tcPr>
            <w:tcW w:type="dxa" w:w="737"/>
          </w:tcPr>
          <w:p>
            <w:r>
              <w:rPr>
                <w:sz w:val="16"/>
              </w:rPr>
              <w:t>12(a)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Statistical methods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Describe all statistical methods, including those used to control for confounding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Section 3</w:t>
            </w:r>
          </w:p>
        </w:tc>
        <w:tc>
          <w:tcPr>
            <w:tcW w:type="dxa" w:w="2948"/>
          </w:tcPr>
          <w:p>
            <w:r>
              <w:rPr>
                <w:sz w:val="16"/>
              </w:rPr>
              <w:t>Fisher's exact test (one-sided); multivariate logistic regression with 7 covariates; bootstrap validation (5,000 iterations)</w:t>
            </w:r>
          </w:p>
        </w:tc>
      </w:tr>
      <w:tr>
        <w:tc>
          <w:tcPr>
            <w:tcW w:type="dxa" w:w="737"/>
          </w:tcPr>
          <w:p>
            <w:r>
              <w:rPr>
                <w:sz w:val="16"/>
              </w:rPr>
              <w:t>12(b)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Statistical methods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Describe any methods used to examine subgroups and interactions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Section 5</w:t>
            </w:r>
          </w:p>
        </w:tc>
        <w:tc>
          <w:tcPr>
            <w:tcW w:type="dxa" w:w="2948"/>
          </w:tcPr>
          <w:p>
            <w:r>
              <w:rPr>
                <w:sz w:val="16"/>
              </w:rPr>
              <w:t>Subgroup analysis by closure type (5 categories); cross-tabulation of conquest rates</w:t>
            </w:r>
          </w:p>
        </w:tc>
      </w:tr>
      <w:tr>
        <w:tc>
          <w:tcPr>
            <w:tcW w:type="dxa" w:w="737"/>
          </w:tcPr>
          <w:p>
            <w:r>
              <w:rPr>
                <w:sz w:val="16"/>
              </w:rPr>
              <w:t>12(c)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Statistical methods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Explain how missing data were addressed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Section 2.1</w:t>
            </w:r>
          </w:p>
        </w:tc>
        <w:tc>
          <w:tcPr>
            <w:tcW w:type="dxa" w:w="2948"/>
          </w:tcPr>
          <w:p>
            <w:r>
              <w:rPr>
                <w:sz w:val="16"/>
              </w:rPr>
              <w:t>Complete-case dataset; no missing values by design (all variables coded for all 96 polities)</w:t>
            </w:r>
          </w:p>
        </w:tc>
      </w:tr>
      <w:tr>
        <w:tc>
          <w:tcPr>
            <w:tcW w:type="dxa" w:w="737"/>
          </w:tcPr>
          <w:p>
            <w:r>
              <w:rPr>
                <w:sz w:val="16"/>
              </w:rPr>
              <w:t>12(d)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Statistical methods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If applicable, describe analytical methods taking account of sampling strategy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948"/>
          </w:tcPr>
          <w:p>
            <w:r>
              <w:rPr>
                <w:sz w:val="16"/>
              </w:rPr>
              <w:t>Census of historical polities, not probability sample; acknowledged in Discussion as limitation</w:t>
            </w:r>
          </w:p>
        </w:tc>
      </w:tr>
      <w:tr>
        <w:tc>
          <w:tcPr>
            <w:tcW w:type="dxa" w:w="737"/>
          </w:tcPr>
          <w:p>
            <w:r>
              <w:rPr>
                <w:sz w:val="16"/>
              </w:rPr>
              <w:t>12(e)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Statistical methods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Describe any sensitivity analyses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Section 5</w:t>
            </w:r>
          </w:p>
        </w:tc>
        <w:tc>
          <w:tcPr>
            <w:tcW w:type="dxa" w:w="2948"/>
          </w:tcPr>
          <w:p>
            <w:r>
              <w:rPr>
                <w:sz w:val="16"/>
              </w:rPr>
              <w:t>Six-scenario sensitivity analysis: 3 reclassification levels (baseline, +5 strong, +7 all) × 2 disrupted-outcome assignments (as conquered, as survived)</w:t>
            </w:r>
          </w:p>
        </w:tc>
      </w:tr>
      <w:tr>
        <w:tc>
          <w:tcPr>
            <w:tcW w:type="dxa" w:w="73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Participants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Report numbers of individuals at each stage of study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Section 2.1; Section 4</w:t>
            </w:r>
          </w:p>
        </w:tc>
        <w:tc>
          <w:tcPr>
            <w:tcW w:type="dxa" w:w="2948"/>
          </w:tcPr>
          <w:p>
            <w:r>
              <w:rPr>
                <w:sz w:val="16"/>
              </w:rPr>
              <w:t>N=96 polities; breakdown by outcome (overtaken/disrupted/survived), by dominant strategy (stock/flow), by closure type</w:t>
            </w:r>
          </w:p>
        </w:tc>
      </w:tr>
      <w:tr>
        <w:tc>
          <w:tcPr>
            <w:tcW w:type="dxa" w:w="73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Descriptive data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Give characteristics of study participants and information on exposures and potential confounders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Section 2; Table 1; Table S1</w:t>
            </w:r>
          </w:p>
        </w:tc>
        <w:tc>
          <w:tcPr>
            <w:tcW w:type="dxa" w:w="2948"/>
          </w:tcPr>
          <w:p>
            <w:r>
              <w:rPr>
                <w:sz w:val="16"/>
              </w:rPr>
              <w:t>Table 1 lists 7 reclassification candidates with rationale; Table S1 provides full dataset with all variables for all 96 polities</w:t>
            </w:r>
          </w:p>
        </w:tc>
      </w:tr>
      <w:tr>
        <w:tc>
          <w:tcPr>
            <w:tcW w:type="dxa" w:w="73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Outcome data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Report numbers of outcome events or summary measures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Section 4; Table 2; Fig. 1</w:t>
            </w:r>
          </w:p>
        </w:tc>
        <w:tc>
          <w:tcPr>
            <w:tcW w:type="dxa" w:w="2948"/>
          </w:tcPr>
          <w:p>
            <w:r>
              <w:rPr>
                <w:sz w:val="16"/>
              </w:rPr>
              <w:t>Conquest rates by closure status across all 6 scenarios; Fisher p-values; relative risks</w:t>
            </w:r>
          </w:p>
        </w:tc>
      </w:tr>
      <w:tr>
        <w:tc>
          <w:tcPr>
            <w:tcW w:type="dxa" w:w="737"/>
          </w:tcPr>
          <w:p>
            <w:r>
              <w:rPr>
                <w:sz w:val="16"/>
              </w:rPr>
              <w:t>16(a)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Main results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Give unadjusted estimates and, if applicable, confounder-adjusted estimates and their precision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Section 4; Section 5; Table 2; Table 3</w:t>
            </w:r>
          </w:p>
        </w:tc>
        <w:tc>
          <w:tcPr>
            <w:tcW w:type="dxa" w:w="2948"/>
          </w:tcPr>
          <w:p>
            <w:r>
              <w:rPr>
                <w:sz w:val="16"/>
              </w:rPr>
              <w:t>Unadjusted: Fisher p-values and conquest rate comparisons; Adjusted: multivariate logistic regression ORs with 95% CIs</w:t>
            </w:r>
          </w:p>
        </w:tc>
      </w:tr>
      <w:tr>
        <w:tc>
          <w:tcPr>
            <w:tcW w:type="dxa" w:w="737"/>
          </w:tcPr>
          <w:p>
            <w:r>
              <w:rPr>
                <w:sz w:val="16"/>
              </w:rPr>
              <w:t>16(b)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Main results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Report category boundaries when continuous variables were categorized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Section 2.1</w:t>
            </w:r>
          </w:p>
        </w:tc>
        <w:tc>
          <w:tcPr>
            <w:tcW w:type="dxa" w:w="2948"/>
          </w:tcPr>
          <w:p>
            <w:r>
              <w:rPr>
                <w:sz w:val="16"/>
              </w:rPr>
              <w:t>Era categories defined (ancient/medieval/early modern/modern/20th century/contemporary); closure types defined</w:t>
            </w:r>
          </w:p>
        </w:tc>
      </w:tr>
      <w:tr>
        <w:tc>
          <w:tcPr>
            <w:tcW w:type="dxa" w:w="737"/>
          </w:tcPr>
          <w:p>
            <w:r>
              <w:rPr>
                <w:sz w:val="16"/>
              </w:rPr>
              <w:t>16(c)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Main results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If relevant, consider translating estimates of relative risk into absolute risk for a meaningful time period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Section 4</w:t>
            </w:r>
          </w:p>
        </w:tc>
        <w:tc>
          <w:tcPr>
            <w:tcW w:type="dxa" w:w="2948"/>
          </w:tcPr>
          <w:p>
            <w:r>
              <w:rPr>
                <w:sz w:val="16"/>
              </w:rPr>
              <w:t>Absolute conquest rates reported for each group (e.g., 86.4% maritime closure vs. 60.8% no closure)</w:t>
            </w:r>
          </w:p>
        </w:tc>
      </w:tr>
      <w:tr>
        <w:tc>
          <w:tcPr>
            <w:tcW w:type="dxa" w:w="737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Other analyses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Report other analyses done—e.g., analyses of subgroups and interactions, and sensitivity analyses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Section 5; Fig. 3; Fig. 4</w:t>
            </w:r>
          </w:p>
        </w:tc>
        <w:tc>
          <w:tcPr>
            <w:tcW w:type="dxa" w:w="2948"/>
          </w:tcPr>
          <w:p>
            <w:r>
              <w:rPr>
                <w:sz w:val="16"/>
              </w:rPr>
              <w:t>Full sensitivity analysis across 6 scenarios; subgroup analysis by closure type; bootstrap OR validation</w:t>
            </w:r>
          </w:p>
        </w:tc>
      </w:tr>
      <w:tr>
        <w:tc>
          <w:tcPr>
            <w:tcW w:type="dxa" w:w="737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Key results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Summarise key results with reference to study objectives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Section 6.1–6.2 (Discussion)</w:t>
            </w:r>
          </w:p>
        </w:tc>
        <w:tc>
          <w:tcPr>
            <w:tcW w:type="dxa" w:w="2948"/>
          </w:tcPr>
          <w:p>
            <w:r>
              <w:rPr>
                <w:sz w:val="16"/>
              </w:rPr>
              <w:t>Technology flow disruption as mechanism (6.1); dose–response gradient; first contact and civilizational divergence (6.2); OR stability (6.4)</w:t>
            </w:r>
          </w:p>
        </w:tc>
      </w:tr>
      <w:tr>
        <w:tc>
          <w:tcPr>
            <w:tcW w:type="dxa" w:w="737"/>
          </w:tcPr>
          <w:p>
            <w:r>
              <w:rPr>
                <w:sz w:val="16"/>
              </w:rPr>
              <w:t>19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Limitations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Discuss limitations of the study, taking into account sources of potential bias or imprecision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Section 6.5</w:t>
            </w:r>
          </w:p>
        </w:tc>
        <w:tc>
          <w:tcPr>
            <w:tcW w:type="dxa" w:w="2948"/>
          </w:tcPr>
          <w:p>
            <w:r>
              <w:rPr>
                <w:sz w:val="16"/>
              </w:rPr>
              <w:t>Small-sample (N=96); retrospective coding subjectivity; non-independence of sequential polities; disrupted-category ambiguity; speculative modern extension</w:t>
            </w:r>
          </w:p>
        </w:tc>
      </w:tr>
      <w:tr>
        <w:tc>
          <w:tcPr>
            <w:tcW w:type="dxa" w:w="737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Interpretation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Give a cautious overall interpretation of results considering objectives, limitations, multiplicity of analyses, and results from similar studies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Section 6.1–6.3; Section 7</w:t>
            </w:r>
          </w:p>
        </w:tc>
        <w:tc>
          <w:tcPr>
            <w:tcW w:type="dxa" w:w="2948"/>
          </w:tcPr>
          <w:p>
            <w:r>
              <w:rPr>
                <w:sz w:val="16"/>
              </w:rPr>
              <w:t>Technology flow disruption mechanism; extension to modern technological access exclusion (AI, semiconductors); cautious framing of forward-looking implications</w:t>
            </w:r>
          </w:p>
        </w:tc>
      </w:tr>
      <w:tr>
        <w:tc>
          <w:tcPr>
            <w:tcW w:type="dxa" w:w="73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Generalisability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Discuss the generalisability (external validity) of the study results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Section 6.3; Section 6.5</w:t>
            </w:r>
          </w:p>
        </w:tc>
        <w:tc>
          <w:tcPr>
            <w:tcW w:type="dxa" w:w="2948"/>
          </w:tcPr>
          <w:p>
            <w:r>
              <w:rPr>
                <w:sz w:val="16"/>
              </w:rPr>
              <w:t>Generalisation to modern technological exclusion discussed (6.3); limitations of extrapolation acknowledged (6.5); limited to major historical polities</w:t>
            </w:r>
          </w:p>
        </w:tc>
      </w:tr>
      <w:tr>
        <w:tc>
          <w:tcPr>
            <w:tcW w:type="dxa" w:w="737"/>
          </w:tcPr>
          <w:p>
            <w:r>
              <w:rPr>
                <w:sz w:val="16"/>
              </w:rPr>
              <w:t>22</w:t>
            </w:r>
          </w:p>
        </w:tc>
        <w:tc>
          <w:tcPr>
            <w:tcW w:type="dxa" w:w="1417"/>
          </w:tcPr>
          <w:p>
            <w:r>
              <w:rPr>
                <w:sz w:val="16"/>
              </w:rPr>
              <w:t>Funding</w:t>
            </w:r>
          </w:p>
        </w:tc>
        <w:tc>
          <w:tcPr>
            <w:tcW w:type="dxa" w:w="3685"/>
          </w:tcPr>
          <w:p>
            <w:r>
              <w:rPr>
                <w:sz w:val="16"/>
              </w:rPr>
              <w:t>Give the source of funding and the role of the funders</w:t>
            </w:r>
          </w:p>
        </w:tc>
        <w:tc>
          <w:tcPr>
            <w:tcW w:type="dxa" w:w="1701"/>
          </w:tcPr>
          <w:p>
            <w:r>
              <w:rPr>
                <w:sz w:val="16"/>
              </w:rPr>
              <w:t>Statements and Declarations</w:t>
            </w:r>
          </w:p>
        </w:tc>
        <w:tc>
          <w:tcPr>
            <w:tcW w:type="dxa" w:w="2948"/>
          </w:tcPr>
          <w:p>
            <w:r>
              <w:rPr>
                <w:sz w:val="16"/>
              </w:rPr>
              <w:t>No external funding received</w:t>
            </w:r>
          </w:p>
        </w:tc>
      </w:tr>
    </w:tbl>
    <w:p/>
    <w:p>
      <w:r>
        <w:rPr>
          <w:sz w:val="16"/>
        </w:rPr>
        <w:t xml:space="preserve">Reference: von Elm E, Altman DG, Egger M, Pocock SJ, Gøtzsche PC, Vandenbroucke JP; STROBE Initiative. The Strengthening the Reporting of Observational Studies in Epidemiology (STROBE) statement: guidelines for reporting observational studies. </w:t>
      </w:r>
      <w:r>
        <w:rPr>
          <w:i/>
          <w:sz w:val="16"/>
        </w:rPr>
        <w:t>Lancet</w:t>
      </w:r>
      <w:r>
        <w:rPr>
          <w:sz w:val="16"/>
        </w:rPr>
        <w:t>. 2007;370(9596):1453–1457.</w:t>
      </w:r>
    </w:p>
    <w:sectPr w:rsidR="00FC693F" w:rsidRPr="0006063C" w:rsidSect="00034616">
      <w:pgSz w:w="12240" w:h="15840"/>
      <w:pgMar w:top="1134" w:right="850" w:bottom="113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40"/>
    </w:pPr>
    <w:rPr>
      <w:rFonts w:ascii="Times New Roman" w:hAnsi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