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because driving continues in heat, fatal crashes may involve heat-related impairment or unrecorded heat illness.</w:t>
      </w:r>
    </w:p>
    <w:p>
      <w:pPr>
        <w:spacing w:line="480" w:lineRule="auto" w:after="120"/>
      </w:pPr>
      <w:r>
        <w:rPr>
          <w:b/>
        </w:rPr>
        <w:t xml:space="preserve">Objectives: </w:t>
      </w:r>
      <w:r>
        <w:t>We quantified the acute association between local heat anomalies and daily traffic-crash mortality in the US and Japan.</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(270,497 crash deaths), a +9°C anomaly raised same-day crash mortality, RR 1.165 (95% CI 1.134-1.196), and remained robust to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 environmental health</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 Black-and-white version: line styles and marker shapes distinguish categories.</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 Black-and-white version: line styles and marker shapes distinguish categories.</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 Black-and-white version: line styles and marker shapes distinguish categories.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vertAlign w:val="superscript"/>
        </w:rPr>
        <w:t>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 Black-and-white version: categories are distinguished by the y-axis labels.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 Black-and-white version: the 12-17 h point is filled and the others are open to highlight the peak band.</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 Black-and-white version: line styles and marker shapes distinguish categories.</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 Black-and-white version: the right-hand (estimate) bar is hatched to distinguish it from the left-hand (official) bar.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 Black-and-white version: line styles and marker shapes distinguish categories.</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 Black-and-white version: line styles and marker shapes distinguish categories.</w:t>
      </w:r>
    </w:p>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 Black-and-white version: US (square) and Japan (circle) estimates use different marker shapes.</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does not capture sub-unit variation such as urban heat islands, and omits humidity, wet-bulb globe temperature and other heat-stress metrics. Third, activity adjustment used national monthly proxies (vehicle-miles travelled and gasoline supplied) and is not daily, state-level or mode-specific; daily state-level or mode-specific activity could alter the road-user and time-of-day gradients.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Centers for Disease Control and Prevention. n.d. CDC WONDER Underlying Cause of Death database. https://wonder.cdc.gov/ [accessed 22 August 2026].</w:t>
      </w:r>
    </w:p>
    <w:p>
      <w:pPr>
        <w:spacing w:after="80"/>
      </w:pPr>
      <w:r>
        <w:t>13. Daanen HAM, van de Vliert E, Huang X. 2003. Driving performance in cold, warm, and thermoneutral environments. Appl Ergon 34(6):597-602, PMID: 14559420, 10.1016/S0003-6870(03)00055-3.</w:t>
      </w:r>
    </w:p>
    <w:p>
      <w:pPr>
        <w:spacing w:after="80"/>
      </w:pPr>
      <w:r>
        <w:t>14. IPCC. 2021. Climate Change 2021: The Physical Science Basis. Contribution of Working Group I to the Sixth Assessment Report of the Intergovernmental Panel on Climate Change. Cambridge: Cambridge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