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End Matter</w:t>
      </w:r>
    </w:p>
    <w:p>
      <w:pPr>
        <w:jc w:val="center"/>
      </w:pPr>
      <w:r>
        <w:rPr>
          <w:rFonts w:ascii="Times New Roman" w:hAnsi="Times New Roman"/>
          <w:b w:val="0"/>
          <w:i/>
          <w:sz w:val="24"/>
        </w:rPr>
        <w:t>Manuscript: Regional variation in anaesthesia practice under universal coverage in Japan: a cross-sectional ecological study of secondary medical areas</w:t>
      </w:r>
    </w:p>
    <w:p>
      <w:pPr>
        <w:spacing w:before="240" w:after="120"/>
      </w:pPr>
      <w:r>
        <w:rPr>
          <w:rFonts w:ascii="Times New Roman" w:hAnsi="Times New Roman"/>
          <w:b/>
          <w:sz w:val="26"/>
        </w:rPr>
        <w:t>Contributorship</w:t>
      </w:r>
    </w:p>
    <w:p>
      <w:r>
        <w:rPr>
          <w:rFonts w:ascii="Times New Roman" w:hAnsi="Times New Roman"/>
          <w:b w:val="0"/>
          <w:i w:val="0"/>
          <w:sz w:val="24"/>
        </w:rPr>
        <w:t>[To be completed by the authors.] The lead author conceived the study, secured the data sources, designed the analytical framework, performed all statistical analyses and drafted the manuscript. Co-authors contributed to study conception and design, interpretation of results, and critical revision of the manuscript for important intellectual content. All authors approved the final version submitted. The lead author is the guarantor for the study.</w:t>
      </w:r>
    </w:p>
    <w:p>
      <w:r>
        <w:rPr>
          <w:rFonts w:ascii="Times New Roman" w:hAnsi="Times New Roman"/>
          <w:b w:val="0"/>
          <w:i w:val="0"/>
          <w:sz w:val="24"/>
        </w:rPr>
        <w:t>Use of artificial intelligence tools: Devin (Cognition AI) was used as a coding assistant to support data processing, statistical modelling, geographic visualisation and manuscript preparation. All scientific interpretation, methodological decisions and the wording of the scientific claims were made by the human authors, who take full responsibility for the integrity and accuracy of the work.</w:t>
      </w:r>
    </w:p>
    <w:p>
      <w:r>
        <w:rPr>
          <w:rFonts w:ascii="Times New Roman" w:hAnsi="Times New Roman"/>
          <w:b w:val="0"/>
          <w:i w:val="0"/>
          <w:sz w:val="24"/>
        </w:rPr>
        <w:t>No professional statistician outside the author list was consulted; the lead author took responsibility for the statistical analysis.</w:t>
      </w:r>
    </w:p>
    <w:p>
      <w:pPr>
        <w:spacing w:before="240" w:after="120"/>
      </w:pPr>
      <w:r>
        <w:rPr>
          <w:rFonts w:ascii="Times New Roman" w:hAnsi="Times New Roman"/>
          <w:b/>
          <w:sz w:val="26"/>
        </w:rPr>
        <w:t>Ethics and other permissions</w:t>
      </w:r>
    </w:p>
    <w:p>
      <w:r>
        <w:rPr>
          <w:rFonts w:ascii="Times New Roman" w:hAnsi="Times New Roman"/>
          <w:b w:val="0"/>
          <w:i w:val="0"/>
          <w:sz w:val="24"/>
        </w:rPr>
        <w:t>This study used publicly available aggregate data only, with no access to individual-level data. Ethics committee approval was not required under the Ethical Guidelines for Medical and Biological Research Involving Human Subjects (Japan, 2021 revision). No additional permissions were required for the use of the data sources cited.</w:t>
      </w:r>
    </w:p>
    <w:p>
      <w:pPr>
        <w:spacing w:before="240" w:after="120"/>
      </w:pPr>
      <w:r>
        <w:rPr>
          <w:rFonts w:ascii="Times New Roman" w:hAnsi="Times New Roman"/>
          <w:b/>
          <w:sz w:val="26"/>
        </w:rPr>
        <w:t>Funding</w:t>
      </w:r>
    </w:p>
    <w:p>
      <w:r>
        <w:rPr>
          <w:rFonts w:ascii="Times New Roman" w:hAnsi="Times New Roman"/>
          <w:b w:val="0"/>
          <w:i w:val="0"/>
          <w:sz w:val="24"/>
        </w:rPr>
        <w:t>[To be completed by the authors.] This work received no specific grant from any funding agency in the public, commercial or not-for-profit sectors.</w:t>
      </w:r>
    </w:p>
    <w:p>
      <w:pPr>
        <w:spacing w:before="240" w:after="120"/>
      </w:pPr>
      <w:r>
        <w:rPr>
          <w:rFonts w:ascii="Times New Roman" w:hAnsi="Times New Roman"/>
          <w:b/>
          <w:sz w:val="26"/>
        </w:rPr>
        <w:t>Conflict of interests</w:t>
      </w:r>
    </w:p>
    <w:p>
      <w:r>
        <w:rPr>
          <w:rFonts w:ascii="Times New Roman" w:hAnsi="Times New Roman"/>
          <w:b w:val="0"/>
          <w:i w:val="0"/>
          <w:sz w:val="24"/>
        </w:rPr>
        <w:t>[To be completed by the authors.] No known conflict of interests.</w:t>
      </w:r>
    </w:p>
    <w:p>
      <w:pPr>
        <w:spacing w:before="240" w:after="120"/>
      </w:pPr>
      <w:r>
        <w:rPr>
          <w:rFonts w:ascii="Times New Roman" w:hAnsi="Times New Roman"/>
          <w:b/>
          <w:sz w:val="26"/>
        </w:rPr>
        <w:t>Acknowledgments</w:t>
      </w:r>
    </w:p>
    <w:p>
      <w:r>
        <w:rPr>
          <w:rFonts w:ascii="Times New Roman" w:hAnsi="Times New Roman"/>
          <w:b w:val="0"/>
          <w:i w:val="0"/>
          <w:sz w:val="24"/>
        </w:rPr>
        <w:t>The authors thank the Cabinet Office Regional Variation Visualisation initiative, the Ministry of Health, Labour and Welfare, and the Ministry of Land, Infrastructure, Transport and Tourism for maintaining the public datasets used in this study.</w:t>
      </w:r>
    </w:p>
    <w:p>
      <w:pPr>
        <w:spacing w:before="240" w:after="120"/>
      </w:pPr>
      <w:r>
        <w:rPr>
          <w:rFonts w:ascii="Times New Roman" w:hAnsi="Times New Roman"/>
          <w:b/>
          <w:sz w:val="26"/>
        </w:rPr>
        <w:t>Data Availability Statement</w:t>
      </w:r>
    </w:p>
    <w:p>
      <w:r>
        <w:rPr>
          <w:rFonts w:ascii="Times New Roman" w:hAnsi="Times New Roman"/>
          <w:b w:val="0"/>
          <w:i w:val="0"/>
          <w:sz w:val="24"/>
        </w:rPr>
        <w:t>All data used in this study are publicly available. Standardised claim ratios: Cabinet Office Regional Variation Visualisation (https://www5.cao.go.jp/keizai-shimon/kaigi/special/reform/mieruka/). Physician statistics: Survey of Physicians, Dentists and Pharmacists, e-Stat (https://www.e-stat.go.jp). Geographic boundary data: National Land Numerical Information (https://nlftp.mlit.go.jp). Derived datasets and analysis code supporting the findings are available from the corresponding author on reasonable request.</w:t>
      </w:r>
    </w:p>
    <w:p>
      <w:pPr>
        <w:spacing w:before="240" w:after="120"/>
      </w:pPr>
      <w:r>
        <w:rPr>
          <w:rFonts w:ascii="Times New Roman" w:hAnsi="Times New Roman"/>
          <w:b/>
          <w:sz w:val="26"/>
        </w:rPr>
        <w:t>Transparency declaration</w:t>
      </w:r>
    </w:p>
    <w:p>
      <w:r>
        <w:rPr>
          <w:rFonts w:ascii="Times New Roman" w:hAnsi="Times New Roman"/>
          <w:b w:val="0"/>
          <w:i w:val="0"/>
          <w:sz w:val="24"/>
        </w:rPr>
        <w:t>The lead author (manuscript guarantor) affirms that the manuscript is an honest, accurate and transparent account of the study being reported; that no important aspects of the study have been omitted; and that any discrepancies from the study as originally planned have been explained.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