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under universal coverage in Japan: a cross-sectional ecological study of secondary medical areas</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2900 words</w:t>
      </w:r>
    </w:p>
    <w:p>
      <w:r>
        <w:rPr>
          <w:rFonts w:ascii="Times New Roman" w:hAnsi="Times New Roman"/>
          <w:i/>
          <w:sz w:val="24"/>
        </w:rPr>
        <w:t>Tables: 3   Figures: 2   References: 21</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Journal of Epidemiology &amp; Community Health</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from the corresponding author on reasonable request.</w:t>
      </w:r>
    </w:p>
    <w:p>
      <w:r>
        <w:rPr>
          <w:rFonts w:ascii="Times New Roman" w:hAnsi="Times New Roman"/>
          <w:b w:val="0"/>
          <w:i w:val="0"/>
          <w:sz w:val="24"/>
        </w:rPr>
        <w:t>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