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 xml:space="preserve">Table 1. </w:t>
      </w:r>
      <w:r>
        <w:rPr>
          <w:sz w:val="20"/>
        </w:rPr>
        <w:t>Phase 1: Regional summary of inpatient analgesic prescribing per surgery across nine regional blocks.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b/>
                <w:sz w:val="18"/>
              </w:rPr>
              <w:t>Region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N prefectures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Mean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SD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Range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Hokkaido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46.12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46.12–46.12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Tohoku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39.97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3.22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35.18–44.51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Kanto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33.00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1.93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29.82–35.36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Hokuriku-Koshinetsu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35.38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3.23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31.17–40.04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Tokai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27.62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1.89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25.20–30.07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Kinki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30.02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1.86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27.92–32.78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Chugoku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35.73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3.74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30.99–40.19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Shikoku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36.33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2.83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33.49–41.02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Kyushu-Okinawa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42.26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4.05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35.81–49.75</w:t>
            </w:r>
          </w:p>
        </w:tc>
      </w:tr>
      <w:tr>
        <w:tc>
          <w:tcPr>
            <w:tcW w:type="dxa" w:w="1805"/>
          </w:tcPr>
          <w:p>
            <w:r>
              <w:rPr>
                <w:b/>
                <w:sz w:val="18"/>
              </w:rPr>
              <w:t>National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47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35.78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5.63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25.20–49.75</w:t>
            </w:r>
          </w:p>
        </w:tc>
      </w:tr>
    </w:tbl>
    <w:p>
      <w:pPr>
        <w:spacing w:before="80"/>
      </w:pPr>
      <w:r>
        <w:rPr>
          <w:i/>
          <w:sz w:val="16"/>
        </w:rPr>
        <w:t>Values represent the analgesic-per-surgery index: total inpatient analgesic prescription units divided by total inpatient surgical procedure count for each prefecture. Kruskal–Wallis test across nine regions: P &lt; 0.001.</w:t>
      </w:r>
    </w:p>
    <w:p>
      <w:r>
        <w:br w:type="page"/>
      </w:r>
    </w:p>
    <w:p>
      <w:r>
        <w:rPr>
          <w:b/>
          <w:sz w:val="20"/>
        </w:rPr>
        <w:t xml:space="preserve">Table 2. </w:t>
      </w:r>
      <w:r>
        <w:rPr>
          <w:sz w:val="20"/>
        </w:rPr>
        <w:t>Phase 2: Regression models for outpatient neuropathic pain prescribing with Tohoku indicator and confounder adjustment.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Dependent variable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Tohoku coefficient / effect size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P value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Significance</w:t>
            </w:r>
          </w:p>
        </w:tc>
      </w:tr>
      <w:tr>
        <w:tc>
          <w:tcPr>
            <w:tcW w:type="dxa" w:w="1805"/>
          </w:tcPr>
          <w:p>
            <w:r>
              <w:rPr>
                <w:b/>
                <w:sz w:val="18"/>
              </w:rPr>
              <w:t>Model 1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Unadjusted t-test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d = 2.806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7.40e-08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***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Model 2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Neuropathic pain drugs / surgery (fully adjusted)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β = 32.6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0.1501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ns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Model 3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Core neuropathic drugs (PGB+MGB) (fully adjusted)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β = 15.7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0.2292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ns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Model 4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Nerve blocks / surgery (fully adjusted)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β = 0.08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0.8631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ns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Model 5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Neuropathic pain drugs (acute + confounder adj.)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β = 31.5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0.1488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ns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Adj CPSP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Confounder-removed residual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d = 0.437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0.3230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ns</w:t>
            </w:r>
          </w:p>
        </w:tc>
      </w:tr>
    </w:tbl>
    <w:p>
      <w:pPr>
        <w:spacing w:before="80"/>
      </w:pPr>
      <w:r>
        <w:rPr>
          <w:i/>
          <w:sz w:val="16"/>
        </w:rPr>
        <w:t>*** P &lt; 0.001; ns = not significant. Models 2–5: multiple linear regression with Tohoku indicator (binary) and confounder disease proxies. Adj CPSP: adjusted CPSP index derived as residuals from regressing neuropathic pain prescribing on four confounder proxies.</w:t>
      </w:r>
    </w:p>
    <w:p>
      <w:r>
        <w:br w:type="page"/>
      </w:r>
    </w:p>
    <w:p>
      <w:r>
        <w:rPr>
          <w:b/>
          <w:sz w:val="20"/>
        </w:rPr>
        <w:t xml:space="preserve">Table 3. </w:t>
      </w:r>
      <w:r>
        <w:rPr>
          <w:sz w:val="20"/>
        </w:rPr>
        <w:t>Effect of confounder adjustment on Tohoku regional indicators.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Unadjusted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Confounder-adjusted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Change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Interpretation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Cohen's d (Tohoku vs rest)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2.806 (P &lt; 0.001)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0.437 (P = 0.323)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84% attenuation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Large → Small effect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Tohoku mean index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432.8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+12.4 (residual)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Excess largely explained by confounders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Non-Tohoku mean index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282.5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-1.8 (residual)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Reference group</w:t>
            </w:r>
          </w:p>
        </w:tc>
      </w:tr>
    </w:tbl>
    <w:p>
      <w:pPr>
        <w:spacing w:before="80"/>
      </w:pPr>
      <w:r>
        <w:rPr>
          <w:i/>
          <w:sz w:val="16"/>
        </w:rPr>
        <w:t>Confounders: oral hypoglycemic agents (diabetes proxy), herpes zoster antivirals, antidepressants (excluding duloxetine), and anxiolytics. Adjustment reduced the Tohoku effect by 84% and rendered it nonsignificant.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