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Supplementary material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1. Sensitivity-analysis framework for evaluating malpractice-litigation risk as a healthcare workforce-allocation lever.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89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892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2. Closed malpractice claims per 1,000 physicians by specialty, 2008–2024 (rates, not counts).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3. Physician workforce by specialty, indexed to 2008 (=100).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1. Primary data sources and their resolution.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Series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Physicians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Statistics of Physicians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Biennial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2004–2024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Denominator &amp; 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Closed malpractice claims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Supreme Court,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Exposure (numerator)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Hospitals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of Medical Institutions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Clinics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(static)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Every 3 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only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JMSR report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JMSR / MAIS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2015–2024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(2016-2024)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Newspaper article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Nikkei Telecom 21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2008–2018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(2009-2018)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2. Equivalence (TOST) results (effect per +1 SD litigation rate).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 per SD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TOST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Equivalent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&lt;0.001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3. JMSR-adjusted annual hospital growth model (2016-2024) with both exposures entered simultaneously.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JMSR report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4. Media-adjusted annual hospital growth model (2009-2018) with a linear time trend; full year fixed effects are omitted because the national article-count series is collinear with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0.72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media count (per 1,000 articles)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-0.0014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5. Holm step-down adjusted p-values for the exploratory sensitivity tests and the JOCS-CP indicator.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Raw p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Holm-adjusted p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Biennial physician growth ~ lagged litigation rate (JOCS-CP indicator)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0.249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Biennial hospital growth ~ lagged litigation rate (JOCS-CP indicator)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0.013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0.119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COUNTS contrast: physician growth ~ lagged litigation COUNT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0.506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Annual hospital growth ~ lagged litigation rate (2008-2024)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0.994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SENSITIVITY interpolated-annual physician growth ~ lag rate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0.389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JMSR-adjusted annual hospital growth (2016-2024) ~ lit rate + JMSR rate (litigation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0.283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JMSR-adjusted annual hospital growth (2016-2024) ~ lit rate + JMSR rate (JMSR report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Media-adjusted annual hospital growth (2009-2018) ~ lit rate + media count (litigation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0.718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Media-adjusted annual hospital growth (2009-2018) ~ lit rate + media count (media count)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0.209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000000"/>
        </w:rPr>
        <w:t>STROBE checklist</w:t>
      </w:r>
    </w:p>
    <w:p>
      <w:pPr>
        <w:spacing w:before="280" w:after="120"/>
      </w:pPr>
      <w:r>
        <w:rPr>
          <w:rFonts w:ascii="Times New Roman" w:hAnsi="Times New Roman"/>
          <w:b/>
          <w:sz w:val="20"/>
        </w:rPr>
        <w:t>STROBE checklist for observational cohort studies.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Item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Reported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Title and abstract indicate the study design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Background and rationale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Specific objectives and hypotheses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Key elements of study design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Data sources, locations and dates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Eligibility and selection criteria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Definitions of outcomes, exposures and predictors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Data sources and measurement methods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Discussion of potential sources of bias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Explanation of study size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Quantitative variables: grouping and transformations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Description of all statistical methods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Numbers of participants at each stage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characteristics of participants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 data for each exposure category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Main results with measures of uncertainty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Other analyses (sensitivity and subgroup)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Summary of key results with reference to objectives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Limitations of bias and imprecision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Cautious overall interpretation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Generalisability to other populations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Registration, protocol, funding, data and code availability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