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 in Japan, 2008–2024: a sensitivity-analysis framework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3456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5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