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Population-level replacement of interferon-based standard therapy for hepatitis C after interferon-free direct-acting antivirals: a new-treatment-anticipation / practical-drug-lag analysis of Japan's NDB Open Data</w:t>
      </w:r>
    </w:p>
    <w:p>
      <w:r>
        <w:rPr>
          <w:b/>
        </w:rPr>
        <w:t xml:space="preserve">Article type: </w:t>
      </w:r>
      <w:r>
        <w:t>Original Report (observational, national open-data study)</w:t>
      </w:r>
    </w:p>
    <w:p>
      <w:r>
        <w:rPr>
          <w:b/>
        </w:rPr>
        <w:t xml:space="preserve">Running head: </w:t>
      </w:r>
      <w:r>
        <w:t>Population-level HCV DAA uptake vs interferon therapy</w:t>
      </w:r>
    </w:p>
    <w:p>
      <w:r>
        <w:rPr>
          <w:b/>
        </w:rPr>
        <w:t xml:space="preserve">Corresponding author: </w:t>
      </w:r>
      <w:r>
        <w:t>[Name], [Affiliation], [Address], [Email]</w:t>
      </w:r>
    </w:p>
    <w:p>
      <w:r>
        <w:rPr>
          <w:b/>
        </w:rPr>
        <w:t xml:space="preserve">Authors / affiliations: </w:t>
      </w:r>
      <w:r>
        <w:t>[To be completed by the authors]</w:t>
      </w:r>
    </w:p>
    <w:p>
      <w:pPr>
        <w:pStyle w:val="Heading1"/>
      </w:pPr>
      <w:r>
        <w:t>Abstract</w:t>
      </w:r>
    </w:p>
    <w:p>
      <w:r>
        <w:rPr>
          <w:b/>
        </w:rPr>
        <w:t xml:space="preserve">Background/Objectives: </w:t>
      </w:r>
      <w:r>
        <w:t xml:space="preserve">If population-level anticipation of a newly reported/reimbursed treatment is real, use of the prior standard therapy should fall sharply once the awaited option arrives; if not, either the anticipation/practical lag is absent or decision-makers are not reacting to the news. </w:t>
      </w:r>
      <w:r>
        <w:rPr>
          <w:b/>
        </w:rPr>
        <w:t xml:space="preserve">Methods: </w:t>
      </w:r>
      <w:r>
        <w:t xml:space="preserve">Using Japan's NDB Open Data (2014-2023), we tracked national dispensed quantity of interferon (IFN)-based standard therapy (peginterferon, ribavirin) and of interferon-free direct-acting antivirals (DAAs) for hepatitis C, against official approval/reimbursement milestones. </w:t>
      </w:r>
      <w:r>
        <w:rPr>
          <w:b/>
        </w:rPr>
        <w:t xml:space="preserve">Results: </w:t>
      </w:r>
      <w:r>
        <w:t xml:space="preserve">Peginterferon dispensing fell 99.2% from FY2014 to FY2023; ribavirin reached near-zero by FY2018. Total DAA dispensing peaked in FY2015 (19.4 million units, +188% vs FY2014) and then fell 92% by FY2023. </w:t>
      </w:r>
      <w:r>
        <w:rPr>
          <w:b/>
        </w:rPr>
        <w:t xml:space="preserve">Conclusion: </w:t>
      </w:r>
      <w:r>
        <w:t>The IFN-based standard therapy was replaced at the population level within about two years, and the DAA surge-then-decay is consistent with a finite pool of long-waiting patients being treated in a burst (pent-up demand) rather than steady substitution.</w:t>
      </w:r>
    </w:p>
    <w:p>
      <w:r>
        <w:rPr>
          <w:b/>
        </w:rPr>
        <w:t xml:space="preserve">Keywords: </w:t>
      </w:r>
      <w:r>
        <w:t>hepatitis C; direct-acting antivirals; interferon; pharmacoepidemiology; prescription trends; drug utilization; NDB Open Data; Japan</w:t>
      </w:r>
    </w:p>
    <w:p>
      <w:pPr>
        <w:pStyle w:val="Heading2"/>
      </w:pPr>
      <w:r>
        <w:t>Key Points</w:t>
      </w:r>
    </w:p>
    <w:p>
      <w:pPr>
        <w:pStyle w:val="ListBullet"/>
      </w:pPr>
      <w:r>
        <w:t>Whether population-level anticipation of a newly reimbursed therapy pulls patients off the prior standard of care can be examined with national drug-utilization open data.</w:t>
      </w:r>
    </w:p>
    <w:p>
      <w:pPr>
        <w:pStyle w:val="ListBullet"/>
      </w:pPr>
      <w:r>
        <w:t>In Japan, dispensing of interferon-based standard therapy for hepatitis C collapsed (peginterferon -99.2%; ribavirin near-zero by FY2018) within ~2 years of interferon-free direct-acting antivirals becoming available.</w:t>
      </w:r>
    </w:p>
    <w:p>
      <w:pPr>
        <w:pStyle w:val="ListBullet"/>
      </w:pPr>
      <w:r>
        <w:t>Interferon-free DAA dispensing surged (+188% to a FY2015 peak) and then declined (92%), a pattern consistent with realized pent-up demand rather than steady substitution.</w:t>
      </w:r>
    </w:p>
    <w:p>
      <w:pPr>
        <w:pStyle w:val="ListBullet"/>
      </w:pPr>
      <w:r>
        <w:t>Findings are descriptive (national dispensed quantity, not patient counts) and do not establish that media coverage caused individual treatment choices.</w:t>
      </w:r>
    </w:p>
    <w:p>
      <w:pPr>
        <w:pStyle w:val="Heading1"/>
      </w:pPr>
      <w:r>
        <w:t>Introduction</w:t>
      </w:r>
    </w:p>
    <w:p>
      <w:r>
        <w:t>When a new therapy is announced through the media or scheduled for reimbursement, advocates of the new treatment expect a population-wide shift away from the current standard of care. Chronic hepatitis C offers an unusually clean natural experiment: interferon-based therapy was the standard until interferon-free DAAs arrived in Japan in 2014-2015, when daclatasvir plus asunaprevir became the world's first all-oral, interferon- and ribavirin-free regimen</w:t>
      </w:r>
      <w:r>
        <w:rPr>
          <w:vertAlign w:val="superscript"/>
        </w:rPr>
        <w:t>1</w:t>
      </w:r>
      <w:r>
        <w:t>. We use nationwide dispensing counts from NDB Open Data</w:t>
      </w:r>
      <w:r>
        <w:rPr>
          <w:vertAlign w:val="superscript"/>
        </w:rPr>
        <w:t>2</w:t>
      </w:r>
      <w:r>
        <w:t xml:space="preserve"> to test whether the standard therapy was displaced at the population level around these announcement/reimbursement events.</w:t>
      </w:r>
    </w:p>
    <w:p>
      <w:pPr>
        <w:pStyle w:val="Heading1"/>
      </w:pPr>
      <w:r>
        <w:t>Methods</w:t>
      </w:r>
    </w:p>
    <w:p>
      <w:r>
        <w:t>We used NDB Open Data editions 1-10 (fiscal years 2014-2023)</w:t>
      </w:r>
      <w:r>
        <w:rPr>
          <w:vertAlign w:val="superscript"/>
        </w:rPr>
        <w:t>2</w:t>
      </w:r>
      <w:r>
        <w:t>, extracting the national total dispensed quantity (総計/処方数量) for each drug from the sex- and age-stratified prescription-drug tables (oral, topical, injectable). Drugs were classified by their actual product names into IFN-based standard therapy (peginterferon, ribavirin) and 9 interferon-free DAA products. Three first-generation NS3/4A protease inhibitors (simeprevir, telaprevir, vaniprevir), which were used together with peginterferon and ribavirin rather than as interferon-free regimens, were tabulated separately and excluded from the DAA group. Conventional interferon is reported separately because it is not hepatitis-C-specific. The metric is dispensed quantity (tablets/capsules for oral drugs, syringes/vials for injections), not a patient count, and is compared within a product over time. Official approval and NHI drug-price listing milestones</w:t>
      </w:r>
      <w:r>
        <w:rPr>
          <w:vertAlign w:val="superscript"/>
        </w:rPr>
        <w:t>1,3</w:t>
      </w:r>
      <w:r>
        <w:t xml:space="preserve"> were used as intervention markers at fiscal-year resolution (Table 1).</w:t>
      </w:r>
    </w:p>
    <w:p>
      <w:pPr>
        <w:spacing w:before="280"/>
      </w:pPr>
      <w:r>
        <w:rPr>
          <w:b/>
          <w:sz w:val="18"/>
        </w:rPr>
        <w:t>Table 1. Official approval / NHI drug-price listing milestones used as intervention markers.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5"/>
              </w:rPr>
              <w:t>FY</w:t>
            </w:r>
          </w:p>
        </w:tc>
        <w:tc>
          <w:tcPr>
            <w:tcW w:type="dxa" w:w="1728"/>
          </w:tcPr>
          <w:p>
            <w:r>
              <w:rPr>
                <w:b/>
                <w:sz w:val="15"/>
              </w:rPr>
              <w:t>Month</w:t>
            </w:r>
          </w:p>
        </w:tc>
        <w:tc>
          <w:tcPr>
            <w:tcW w:type="dxa" w:w="1728"/>
          </w:tcPr>
          <w:p>
            <w:r>
              <w:rPr>
                <w:b/>
                <w:sz w:val="15"/>
              </w:rPr>
              <w:t>Drug</w:t>
            </w:r>
          </w:p>
        </w:tc>
        <w:tc>
          <w:tcPr>
            <w:tcW w:type="dxa" w:w="1728"/>
          </w:tcPr>
          <w:p>
            <w:r>
              <w:rPr>
                <w:b/>
                <w:sz w:val="15"/>
              </w:rPr>
              <w:t>Milestone</w:t>
            </w:r>
          </w:p>
        </w:tc>
        <w:tc>
          <w:tcPr>
            <w:tcW w:type="dxa" w:w="1728"/>
          </w:tcPr>
          <w:p>
            <w:r>
              <w:rPr>
                <w:b/>
                <w:sz w:val="15"/>
              </w:rPr>
              <w:t>Source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2014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2014-07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daclatasvir + asunaprevir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approval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Bristol-Myers Squibb K.K. press release 2014-07-04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2014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2014-09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daclatasvir + asunaprevir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NHI listing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MHLW/Chuikyo NHI drug-price listing FY2014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2015-03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sofosbuvir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approval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PMDA new-drug approval / Gilead Sciences K.K. press release (2015-03)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2015-05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sofosbuvir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NHI listing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MHLW/Chuikyo NHI drug-price listing (2015-05)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2015-07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ledipasvir/sofosbuvir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approval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PMDA new-drug approval / Gilead Sciences K.K. press release (2015-07)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2015-08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ledipasvir/sofosbuvir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NHI listing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MHLW/Chuikyo NHI drug-price listing (2015-08)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2017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2017-09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glecaprevir/pibrentasvir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approval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PMDA new-drug approval / AbbVie GK press release (2017-09)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2017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2017-11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glecaprevir/pibrentasvir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NHI listing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MHLW/Chuikyo NHI drug-price listing (2017-11)</w:t>
            </w:r>
          </w:p>
        </w:tc>
      </w:tr>
    </w:tbl>
    <w:p>
      <w:r>
        <w:t>Statistical analysis. Because NDB begins in FY2014, coincident with IFN-free DAA availability, there is no pre-intervention baseline and a conventional pre/post interrupted time series is not identifiable; with 10 annual national observations we therefore fitted descriptive trend models. Total DAA dispensing was modelled by continuous segmented (broken-stick) log-linear regression with a knot at the observed peak fiscal year, estimating pre- and post-peak annual multiplicative rates of change; each IFN-based drug was modelled by exponential (log-linear) decay over fiscal years with positive dispensing. Uncertainty was expressed as heteroskedasticity- and autocorrelation-consistent (Newey-West, maxlags=1) 95% intervals</w:t>
      </w:r>
      <w:r>
        <w:rPr>
          <w:vertAlign w:val="superscript"/>
        </w:rPr>
        <w:t>4</w:t>
      </w:r>
      <w:r>
        <w:t>, cross-checked by a residual bootstrap (10,000 resamples)</w:t>
      </w:r>
      <w:r>
        <w:rPr>
          <w:vertAlign w:val="superscript"/>
        </w:rPr>
        <w:t>5</w:t>
      </w:r>
      <w:r>
        <w:t>. These quantify how fast dispensing changed and its uncertainty; they are not causal estimates. Analyses used Python (statsmodels); the full pipeline (download -&gt; build -&gt; analyze -&gt; figures) is openly reproducible.</w:t>
      </w:r>
    </w:p>
    <w:p>
      <w:pPr>
        <w:pStyle w:val="Heading1"/>
      </w:pPr>
      <w:r>
        <w:t>Results</w:t>
      </w:r>
    </w:p>
    <w:p>
      <w:r>
        <w:t>The interferon-based standard therapy collapsed after IFN-free DAAs became available (Fig. 1). Peginterferon dispensing fell 99.2% from FY2014 to FY2023, and ribavirin reached near-zero by FY2018. In the trend models this corresponded to peginterferon declining 36% per year (95% CI 24-47%), ribavirin 76% per year (95% CI 60-85%; FY2014-FY2019), and conventional interferon 25% per year (95% CI 24-26%).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ifn_collapse_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</w:pPr>
      <w:r>
        <w:rPr>
          <w:b/>
          <w:sz w:val="18"/>
        </w:rPr>
        <w:t>Fig. 1. Collapse of interferon-based standard therapy (indexed to FY2014 = 100) with total DAA dispensed quantity and dated announcement markers.</w:t>
      </w:r>
    </w:p>
    <w:p>
      <w:r>
        <w:t>DAA use itself showed a surge-then-decay pattern (Fig. 2): total DAA dispensing peaked in FY2015 at 19.4 million units (+188% vs FY2014) and then declined 92% to 1.5 million units by FY2023, with successive products replacing earlier ones. In the segmented model, DAA dispensing declined 25% per year after the FY2015 peak (95% CI 20-29%), and the post-peak slope differed significantly from the pre-peak slope (P=0.000).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aa_wave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</w:pPr>
      <w:r>
        <w:rPr>
          <w:b/>
          <w:sz w:val="18"/>
        </w:rPr>
        <w:t>Fig. 2. The DAA wave: dispensed quantity by product.</w:t>
      </w:r>
    </w:p>
    <w:p>
      <w:r>
        <w:t>To give a rough sense of the practical patient scale (dispensed quantity is not a patient count), we converted the dispensed quantity of each interferon-free DAA to approximate full treatment courses using documented per-course unit counts (daily dose x standard duration), counting one anchor component per two-drug regimen to avoid double-counting. This yields an estimated peak of about 89,858 courses in FY2015 and an estimated 265,914-297,637 courses over FY2014-FY2023 (duration-sensitivity range). These figures are explicit estimates dependent on the regimen assumptions and are not observed patient counts.</w:t>
      </w:r>
    </w:p>
    <w:p>
      <w:pPr>
        <w:pStyle w:val="Heading1"/>
      </w:pPr>
      <w:r>
        <w:t>Discussion</w:t>
      </w:r>
    </w:p>
    <w:p>
      <w:r>
        <w:t>For hepatitis C DAAs there was no population-level practical lag: the standard therapy was displaced within about two years of the announcements/listings, indicating that decision-makers reacted rapidly. The DAA surge-then-decay is consistent with a finite stock of long-waiting patients being cured in a burst (pent-up demand) rather than a steady replacement flow. This is descriptive evidence supporting the anticipation hypothesis; it does not by itself establish that media coverage caused individual treatment choices. External pre-2014 utilization data (e.g. national hepatitis programmes or society statistics) would be needed to quantify the full pre-DAA interferon baseline and are outside NDB; our claim is therefore limited to the speed of within-NDB displacement.</w:t>
      </w:r>
    </w:p>
    <w:p>
      <w:pPr>
        <w:pStyle w:val="Heading2"/>
      </w:pPr>
      <w:r>
        <w:t>Limitations</w:t>
      </w:r>
    </w:p>
    <w:p>
      <w:r>
        <w:t>NDB Open Data begins in FY2014, the same period IFN-free DAAs launched, so there is no pre-DAA interferon baseline within NDB; the FY2014 value already reflects decline from the pre-2014 peak. The metric is dispensed quantity, not patient counts, and units differ across products, so the summed DAA quantity is not a patient count. Data are annual, precluding within-year interrupted time-series or formal causal estimation; the reported trend rates carry wide uncertainty intervals given the small number of annual observations (n=10), and no control condition or placebo event is included. Secular changes from FY2020 onward, including the COVID-19 pandemic's effect on outpatient visits and prescribing, may also have influenced later dispensing and cannot be separated from the ongoing DAA decline.</w:t>
      </w:r>
    </w:p>
    <w:p>
      <w:pPr>
        <w:pStyle w:val="Heading1"/>
      </w:pPr>
      <w:r>
        <w:t>Conclusion</w:t>
      </w:r>
    </w:p>
    <w:p>
      <w:r>
        <w:t>In hepatitis C, the interferon-based standard therapy was replaced at the population level within about two years of interferon-free DAAs, and the surge-then-decay of DAA use is consistent with realized pent-up demand. This supports the existence of population-level new-treatment anticipation for this case, while cautioning that the same pattern need not generalize to therapies with weaker anticipation or greater practical constraints.</w:t>
      </w:r>
    </w:p>
    <w:p>
      <w:r>
        <w:rPr>
          <w:b/>
        </w:rPr>
        <w:t xml:space="preserve">Ethics approval and consent. </w:t>
      </w:r>
      <w:r>
        <w:t>This study used only publicly available, aggregated national open data (NDB Open Data) containing no individual-level or identifiable information; ethics-committee approval and informed consent were therefore not required.</w:t>
      </w:r>
    </w:p>
    <w:p>
      <w:r>
        <w:rPr>
          <w:b/>
        </w:rPr>
        <w:t xml:space="preserve">Conflict of interest. </w:t>
      </w:r>
      <w:r>
        <w:t>The authors declare no conflicts of interest.</w:t>
      </w:r>
    </w:p>
    <w:p>
      <w:r>
        <w:rPr>
          <w:b/>
        </w:rPr>
        <w:t xml:space="preserve">Funding. </w:t>
      </w:r>
      <w:r>
        <w:t>This research received no specific grant from any funding agency.</w:t>
      </w:r>
    </w:p>
    <w:p>
      <w:r>
        <w:rPr>
          <w:b/>
        </w:rPr>
        <w:t xml:space="preserve">Reporting guideline. </w:t>
      </w:r>
      <w:r>
        <w:t>This observational study is reported in line with the STROBE guideline for cross-sectional/ecological analyses of routinely collected aggregate data; a completed STROBE checklist can be provided as supplementary material.</w:t>
      </w:r>
    </w:p>
    <w:p>
      <w:pPr>
        <w:pStyle w:val="Heading1"/>
      </w:pPr>
      <w:r>
        <w:t>Data and code availability</w:t>
      </w:r>
    </w:p>
    <w:p>
      <w:r>
        <w:t>Raw NDB Open Data workbooks are publicly available from MHLW and are re-downloadable via scripts/download_ndb.py; derived datasets, analysis code and figure/manuscript generators are in the project repository.</w:t>
      </w:r>
    </w:p>
    <w:p>
      <w:pPr>
        <w:pStyle w:val="Heading1"/>
      </w:pPr>
      <w:r>
        <w:t>References</w:t>
      </w:r>
    </w:p>
    <w:p>
      <w:pPr>
        <w:ind w:left="432" w:hanging="432"/>
      </w:pPr>
      <w:r>
        <w:t>1. Bristol-Myers Squibb K.K. Press release: approval in Japan of the world's first all-oral, interferon- and ribavirin-free treatment for chronic hepatitis C (daclatasvir + asunaprevir). 4 July 2014.</w:t>
      </w:r>
    </w:p>
    <w:p>
      <w:pPr>
        <w:ind w:left="432" w:hanging="432"/>
      </w:pPr>
      <w:r>
        <w:t>2. Ministry of Health, Labour and Welfare (Japan). NDB Open Data (1st-10th editions). https://www.mhlw.go.jp/ndb/opendatasite/ (accessed for fiscal years 2014-2023).</w:t>
      </w:r>
    </w:p>
    <w:p>
      <w:pPr>
        <w:ind w:left="432" w:hanging="432"/>
      </w:pPr>
      <w:r>
        <w:t>3. Ministry of Health, Labour and Welfare / Central Social Insurance Medical Council (Chuikyo). NHI drug-price listings of direct-acting antivirals for hepatitis C (2014-2017).</w:t>
      </w:r>
    </w:p>
    <w:p>
      <w:pPr>
        <w:ind w:left="432" w:hanging="432"/>
      </w:pPr>
      <w:r>
        <w:t>4. Newey WK, West KD. A simple, positive semi-definite, heteroskedasticity and autocorrelation consistent covariance matrix. Econometrica. 1987;55(3):703-708.</w:t>
      </w:r>
    </w:p>
    <w:p>
      <w:pPr>
        <w:ind w:left="432" w:hanging="432"/>
      </w:pPr>
      <w:r>
        <w:t>5. Efron B, Tibshirani RJ. An Introduction to the Bootstrap. New York: Chapman &amp; Hall; 1993.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