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28"/>
        </w:rPr>
        <w:t>Temporal associations between medical safety incidents and physician workforce dynamics in Japan: a vector autoregression analysis in the era of work-style reform and specialty maldistribution</w:t>
      </w:r>
    </w:p>
    <w:p>
      <w:pPr>
        <w:spacing w:after="360"/>
        <w:jc w:val="center"/>
      </w:pPr>
      <w:r>
        <w:rPr>
          <w:rFonts w:ascii="Times New Roman" w:hAnsi="Times New Roman"/>
          <w:i/>
          <w:sz w:val="22"/>
        </w:rPr>
        <w:t>Running title: Safety incidents and physician workforce in Japan</w:t>
      </w:r>
    </w:p>
    <w:p>
      <w:pPr>
        <w:spacing w:after="240"/>
        <w:jc w:val="center"/>
      </w:pPr>
      <w:r>
        <w:rPr>
          <w:rFonts w:ascii="Times New Roman" w:hAnsi="Times New Roman"/>
          <w:sz w:val="24"/>
        </w:rPr>
        <w:t>Tatsuki Onishi</w:t>
      </w:r>
    </w:p>
    <w:p>
      <w:pPr>
        <w:spacing w:after="480"/>
        <w:jc w:val="center"/>
      </w:pPr>
      <w:r>
        <w:rPr>
          <w:rFonts w:ascii="Times New Roman" w:hAnsi="Times New Roman"/>
          <w:sz w:val="22"/>
        </w:rPr>
        <w:t>Data Science AI Innovation Research Promotion Center, Shiga University, Hikone, Shiga, Japan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>Corresponding author:</w:t>
      </w:r>
    </w:p>
    <w:p>
      <w:pPr>
        <w:spacing w:after="120"/>
      </w:pPr>
      <w:r>
        <w:rPr>
          <w:rFonts w:ascii="Times New Roman" w:hAnsi="Times New Roman"/>
          <w:sz w:val="22"/>
        </w:rPr>
        <w:t>Tatsuki Onishi</w:t>
        <w:br/>
        <w:t>Data Science AI Innovation Research Promotion Center, Shiga University</w:t>
        <w:br/>
        <w:t>1-1-1 Bamba, Hikone, Shiga 522-8522, Japan</w:t>
        <w:br/>
        <w:t>E-mail: [to be added]</w:t>
        <w:br/>
        <w:t>Telephone: [to be added]</w:t>
      </w:r>
    </w:p>
    <w:p>
      <w:pPr>
        <w:spacing w:before="360" w:after="120"/>
      </w:pPr>
      <w:r>
        <w:rPr>
          <w:rFonts w:ascii="Times New Roman" w:hAnsi="Times New Roman"/>
          <w:sz w:val="22"/>
        </w:rPr>
        <w:t>Word count: approximately 3,400 (excluding abstract, references, tables, and figure legends)</w:t>
      </w:r>
    </w:p>
    <w:p>
      <w:pPr>
        <w:spacing w:after="120"/>
      </w:pPr>
      <w:r>
        <w:rPr>
          <w:rFonts w:ascii="Times New Roman" w:hAnsi="Times New Roman"/>
          <w:sz w:val="22"/>
        </w:rPr>
        <w:t>Number of tables: 3</w:t>
      </w:r>
    </w:p>
    <w:p>
      <w:pPr>
        <w:spacing w:after="120"/>
      </w:pPr>
      <w:r>
        <w:rPr>
          <w:rFonts w:ascii="Times New Roman" w:hAnsi="Times New Roman"/>
          <w:sz w:val="22"/>
        </w:rPr>
        <w:t>Number of figures: 4</w:t>
      </w:r>
    </w:p>
    <w:p>
      <w:pPr>
        <w:spacing w:after="120"/>
      </w:pPr>
      <w:r>
        <w:rPr>
          <w:rFonts w:ascii="Times New Roman" w:hAnsi="Times New Roman"/>
          <w:sz w:val="22"/>
        </w:rPr>
        <w:t>Number of references: 29</w:t>
      </w:r>
    </w:p>
    <w:p>
      <w:pPr>
        <w:spacing w:before="360"/>
      </w:pPr>
      <w:r>
        <w:rPr>
          <w:rFonts w:ascii="Times New Roman" w:hAnsi="Times New Roman"/>
          <w:b/>
          <w:sz w:val="22"/>
        </w:rPr>
        <w:t>Article type: Original Research Article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