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Materials and methods, '2.1 Study design and ethical considerations'</w:t>
            </w:r>
          </w:p>
        </w:tc>
        <w:tc>
          <w:tcPr>
            <w:tcW w:type="dxa" w:w="1247"/>
          </w:tcPr>
          <w:p>
            <w:r/>
            <w:r>
              <w:rPr>
                <w:sz w:val="18"/>
              </w:rPr>
              <w:t>5–6</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Materials and methods, '2.2 Geographic units' and '2.3 Data sources' (fiscal year 2022, 335 secondary medical areas covering all 47 prefectures of Japan)</w:t>
            </w:r>
          </w:p>
        </w:tc>
        <w:tc>
          <w:tcPr>
            <w:tcW w:type="dxa" w:w="1247"/>
          </w:tcPr>
          <w:p>
            <w:r/>
            <w:r>
              <w:rPr>
                <w:sz w:val="18"/>
              </w:rPr>
              <w:t>5–6</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Materials and methods, '2.3 Data sources'; aggregate ecological unit = secondary medical area; no individual-level eligibility criteria</w:t>
            </w:r>
          </w:p>
        </w:tc>
        <w:tc>
          <w:tcPr>
            <w:tcW w:type="dxa" w:w="1247"/>
          </w:tcPr>
          <w:p>
            <w:r/>
            <w:r>
              <w:rPr>
                <w:sz w:val="18"/>
              </w:rPr>
              <w:t>5–6</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Materials and methods, '2.4 Anaesthesia procedure codes and university hospital mapping' and '2.5 Statistical analysis'</w:t>
            </w:r>
          </w:p>
        </w:tc>
        <w:tc>
          <w:tcPr>
            <w:tcW w:type="dxa" w:w="1247"/>
          </w:tcPr>
          <w:p>
            <w:r/>
            <w:r>
              <w:rPr>
                <w:sz w:val="18"/>
              </w:rPr>
              <w:t>5–6</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Materials and methods, '2.3 Data sources and standardised claim ratios' (Cabinet Office Regional Variation Visualisation; Survey of Physicians, Dentists and Pharmacists; National Land Numerical Information)</w:t>
            </w:r>
          </w:p>
        </w:tc>
        <w:tc>
          <w:tcPr>
            <w:tcW w:type="dxa" w:w="1247"/>
          </w:tcPr>
          <w:p>
            <w:r/>
            <w:r>
              <w:rPr>
                <w:sz w:val="18"/>
              </w:rPr>
              <w:t>5–6</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Materials and methods, '2.5 Statistical analysis' and Discussion, '4.2 Strengths and limitations'</w:t>
            </w:r>
          </w:p>
        </w:tc>
        <w:tc>
          <w:tcPr>
            <w:tcW w:type="dxa" w:w="1247"/>
          </w:tcPr>
          <w:p>
            <w:r/>
            <w:r>
              <w:rPr>
                <w:sz w:val="18"/>
              </w:rPr>
              <w:t>5–6</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Materials and methods, '2.3 Data sources' (all 335 areas — no sampling)</w:t>
            </w:r>
          </w:p>
        </w:tc>
        <w:tc>
          <w:tcPr>
            <w:tcW w:type="dxa" w:w="1247"/>
          </w:tcPr>
          <w:p>
            <w:r/>
            <w:r>
              <w:rPr>
                <w:sz w:val="18"/>
              </w:rPr>
              <w:t>5–6</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Materials and methods, '2.5 Statistical analysis' (standardised claim ratio as primary outcome; empirical Bayes shrinkage)</w:t>
            </w:r>
          </w:p>
        </w:tc>
        <w:tc>
          <w:tcPr>
            <w:tcW w:type="dxa" w:w="1247"/>
          </w:tcPr>
          <w:p>
            <w:r/>
            <w:r>
              <w:rPr>
                <w:sz w:val="18"/>
              </w:rPr>
              <w:t>5–6</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Materials and methods, '2.5 Statistical analysis' (descriptive statistics, multilevel models with prefecture random intercept, variance decomposition, empirical Bayes shrinkage)</w:t>
            </w:r>
          </w:p>
        </w:tc>
        <w:tc>
          <w:tcPr>
            <w:tcW w:type="dxa" w:w="1247"/>
          </w:tcPr>
          <w:p>
            <w:r/>
            <w:r>
              <w:rPr>
                <w:sz w:val="18"/>
              </w:rPr>
              <w:t>5–6</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'3.3 Sensitivity analyses against the audit hypothesis' and '3.4 Robustness: empirical Bayes shrinkage and outliers' (within-prefecture paired comparisons; alternative combined outcomes)</w:t>
            </w:r>
          </w:p>
        </w:tc>
        <w:tc>
          <w:tcPr>
            <w:tcW w:type="dxa" w:w="1247"/>
          </w:tcPr>
          <w:p>
            <w:r/>
            <w:r>
              <w:rPr>
                <w:sz w:val="18"/>
              </w:rPr>
              <w:t>5–6</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Materials and methods, '2.5 Statistical analysis' (low-volume areas masked by the data provider are reported as n and excluded from rate calculations)</w:t>
            </w:r>
          </w:p>
        </w:tc>
        <w:tc>
          <w:tcPr>
            <w:tcW w:type="dxa" w:w="1247"/>
          </w:tcPr>
          <w:p>
            <w:r/>
            <w:r>
              <w:rPr>
                <w:sz w:val="18"/>
              </w:rPr>
              <w:t>5–6</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'3.3 Sensitivity analyses against the audit hypothesis'</w:t>
            </w:r>
          </w:p>
        </w:tc>
        <w:tc>
          <w:tcPr>
            <w:tcW w:type="dxa" w:w="1247"/>
          </w:tcPr>
          <w:p>
            <w:r/>
            <w:r>
              <w:rPr>
                <w:sz w:val="18"/>
              </w:rPr>
              <w:t>5–6</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'3.1 Study population' (335 areas, 47 prefectures, 64 university-hospital areas)</w:t>
            </w:r>
          </w:p>
        </w:tc>
        <w:tc>
          <w:tcPr>
            <w:tcW w:type="dxa" w:w="1247"/>
          </w:tcPr>
          <w:p>
            <w:r/>
            <w:r>
              <w:rPr>
                <w:sz w:val="18"/>
              </w:rPr>
              <w:t>7–13</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'3.1 Study population' (areas masked for low volume reported as n by procedure)</w:t>
            </w:r>
          </w:p>
        </w:tc>
        <w:tc>
          <w:tcPr>
            <w:tcW w:type="dxa" w:w="1247"/>
          </w:tcPr>
          <w:p>
            <w:r/>
            <w:r>
              <w:rPr>
                <w:sz w:val="18"/>
              </w:rPr>
              <w:t>7–13</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'3.1 Study population and variation in anaesthesia practice'; Table 1 and Table 2</w:t>
            </w:r>
          </w:p>
        </w:tc>
        <w:tc>
          <w:tcPr>
            <w:tcW w:type="dxa" w:w="1247"/>
          </w:tcPr>
          <w:p>
            <w:r/>
            <w:r>
              <w:rPr>
                <w:sz w:val="18"/>
              </w:rPr>
              <w:t>8, 10</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2 column 'n'</w:t>
            </w:r>
          </w:p>
        </w:tc>
        <w:tc>
          <w:tcPr>
            <w:tcW w:type="dxa" w:w="1247"/>
          </w:tcPr>
          <w:p>
            <w:r/>
            <w:r>
              <w:rPr>
                <w:sz w:val="18"/>
              </w:rPr>
              <w:t>10</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'3.1 Study population and variation in anaesthesia practice' and Tables 1–2 (means, SD, IQR, range, coefficients of variation)</w:t>
            </w:r>
          </w:p>
        </w:tc>
        <w:tc>
          <w:tcPr>
            <w:tcW w:type="dxa" w:w="1247"/>
          </w:tcPr>
          <w:p>
            <w:r/>
            <w:r>
              <w:rPr>
                <w:sz w:val="18"/>
              </w:rPr>
              <w:t>8–10</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'3.2 Multilevel model and university hospital effect'; Table 3 (mixed-effects coefficients with 95% confidence intervals)</w:t>
            </w:r>
          </w:p>
        </w:tc>
        <w:tc>
          <w:tcPr>
            <w:tcW w:type="dxa" w:w="1247"/>
          </w:tcPr>
          <w:p>
            <w:r/>
            <w:r>
              <w:rPr>
                <w:sz w:val="18"/>
              </w:rPr>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legends (quintile shading)</w:t>
            </w:r>
          </w:p>
        </w:tc>
        <w:tc>
          <w:tcPr>
            <w:tcW w:type="dxa" w:w="1247"/>
          </w:tcPr>
          <w:p>
            <w:r/>
            <w:r>
              <w:rPr>
                <w:sz w:val="18"/>
              </w:rPr>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'3.3 Sensitivity analyses against the audit hypothesis' and '3.4 Robustness: empirical Bayes shrinkage and outliers' (empirical Bayes shrinkage; within-prefecture comparisons; combined codes)</w:t>
            </w:r>
          </w:p>
        </w:tc>
        <w:tc>
          <w:tcPr>
            <w:tcW w:type="dxa" w:w="1247"/>
          </w:tcPr>
          <w:p>
            <w:r/>
            <w:r>
              <w:rPr>
                <w:sz w:val="18"/>
              </w:rPr>
              <w:t>7–13</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'4.1 Statement of principal findings'</w:t>
            </w:r>
          </w:p>
        </w:tc>
        <w:tc>
          <w:tcPr>
            <w:tcW w:type="dxa" w:w="1247"/>
          </w:tcPr>
          <w:p>
            <w:r/>
            <w:r>
              <w:rPr>
                <w:sz w:val="18"/>
              </w:rPr>
              <w:t>14–16</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'4.2 Strengths and limitations'</w:t>
            </w:r>
          </w:p>
        </w:tc>
        <w:tc>
          <w:tcPr>
            <w:tcW w:type="dxa" w:w="1247"/>
          </w:tcPr>
          <w:p>
            <w:r/>
            <w:r>
              <w:rPr>
                <w:sz w:val="18"/>
              </w:rPr>
              <w:t>14–16</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'4.3 International generalizability and clinical relevance'</w:t>
            </w:r>
          </w:p>
        </w:tc>
        <w:tc>
          <w:tcPr>
            <w:tcW w:type="dxa" w:w="1247"/>
          </w:tcPr>
          <w:p>
            <w:r/>
            <w:r>
              <w:rPr>
                <w:sz w:val="18"/>
              </w:rPr>
              <w:t>14–16</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'4.3 International generalizability and clinical relevance' and '4.4 Implications for perioperative practice and policy'</w:t>
            </w:r>
          </w:p>
        </w:tc>
        <w:tc>
          <w:tcPr>
            <w:tcW w:type="dxa" w:w="1247"/>
          </w:tcPr>
          <w:p>
            <w:r/>
            <w:r>
              <w:rPr>
                <w:sz w:val="18"/>
              </w:rPr>
              <w:t>14–16</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