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left"/>
      </w:pPr>
      <w:r>
        <w:rPr>
          <w:rFonts w:ascii="MS Mincho" w:hAnsi="MS Mincho" w:eastAsia="MS Mincho"/>
          <w:b/>
          <w:sz w:val="26"/>
        </w:rPr>
        <w:t>【書類名】特許請求の範囲</w:t>
      </w:r>
    </w:p>
    <w:p>
      <w:pPr>
        <w:spacing w:before="160" w:after="80" w:line="360" w:lineRule="exact"/>
        <w:jc w:val="both"/>
      </w:pPr>
      <w:r>
        <w:rPr>
          <w:rFonts w:ascii="MS Mincho" w:hAnsi="MS Mincho" w:eastAsia="MS Mincho"/>
          <w:b/>
          <w:sz w:val="22"/>
        </w:rPr>
        <w:t>【請求項1】</w:t>
      </w:r>
      <w:r>
        <w:rPr>
          <w:rFonts w:ascii="MS Mincho" w:hAnsi="MS Mincho" w:eastAsia="MS Mincho"/>
          <w:b w:val="0"/>
          <w:sz w:val="22"/>
        </w:rPr>
        <w:br/>
        <w:t>手掌および/または足底の無毛皮膚（glabrous skin）の表面に装着可能なウェアラブルデバイスであって、</w:t>
        <w:br/>
        <w:t>(a) フレキシブル基板上に配列された複数の発光ダイオード（LED）素子を含み、630〜850 nmの波長帯の非コヒーレント光を前記無毛皮膚の表面に向けて出射する光照射手段であって、前記無毛皮膚の真皮深層から皮下浅層に存在する動静脈吻合（AVA）に到達可能なパワー密度で光を照射するもの、</w:t>
        <w:br/>
        <w:t>(b) 前記光照射手段を間欠的に駆動するパルス照射モードを有し、照射期間（T_on）と非照射期間（T_off）のデューティサイクルを制御する制御手段であって、前記非照射期間において前記AVA周囲の血管内皮細胞における一酸化窒素（NO）蓄積量の回復を許容するように前記デューティサイクルを設定するもの、および</w:t>
        <w:br/>
        <w:t>(c) 装着者の末梢皮膚温を検知する温度センサ</w:t>
        <w:br/>
        <w:t>を備え、</w:t>
        <w:br/>
        <w:t>前記制御手段は、前記温度センサにより検知された皮膚温に基づき前記光照射手段の出力パラメータをフィードバック制御し、</w:t>
        <w:br/>
        <w:t>前記光照射手段から照射された光により、前記AVA周囲の血管内皮細胞においてNOが光化学的に遊離し、遊離したNOが前記AVAの血管平滑筋を弛緩させることにより、前記AVAを拡張させて末梢血流を増加させる、</w:t>
        <w:br/>
        <w:t>ウェアラブル末梢血流促進デバイス。</w:t>
      </w:r>
    </w:p>
    <w:p>
      <w:pPr>
        <w:spacing w:before="160" w:after="80" w:line="360" w:lineRule="exact"/>
        <w:jc w:val="both"/>
      </w:pPr>
      <w:r>
        <w:rPr>
          <w:rFonts w:ascii="MS Mincho" w:hAnsi="MS Mincho" w:eastAsia="MS Mincho"/>
          <w:b/>
          <w:sz w:val="22"/>
        </w:rPr>
        <w:t>【請求項2】</w:t>
      </w:r>
      <w:r>
        <w:rPr>
          <w:rFonts w:ascii="MS Mincho" w:hAnsi="MS Mincho" w:eastAsia="MS Mincho"/>
          <w:b w:val="0"/>
          <w:sz w:val="22"/>
        </w:rPr>
        <w:br/>
        <w:t>請求項1に記載のデバイスにおいて、前記光照射手段は、前記無毛皮膚表面において20〜100 mW/cm²のパワー密度で光を照射する、デバイス。</w:t>
      </w:r>
    </w:p>
    <w:p>
      <w:pPr>
        <w:spacing w:before="160" w:after="80" w:line="360" w:lineRule="exact"/>
        <w:jc w:val="both"/>
      </w:pPr>
      <w:r>
        <w:rPr>
          <w:rFonts w:ascii="MS Mincho" w:hAnsi="MS Mincho" w:eastAsia="MS Mincho"/>
          <w:b/>
          <w:sz w:val="22"/>
        </w:rPr>
        <w:t>【請求項3】</w:t>
      </w:r>
      <w:r>
        <w:rPr>
          <w:rFonts w:ascii="MS Mincho" w:hAnsi="MS Mincho" w:eastAsia="MS Mincho"/>
          <w:b w:val="0"/>
          <w:sz w:val="22"/>
        </w:rPr>
        <w:br/>
        <w:t>請求項1または2に記載のデバイスにおいて、前記LED素子は、660±10 nm帯の第一波長群と830±10 nm帯の第二波長群を含み、前記第一波長群はS-ニトロソチオールの光分解に適し、前記第二波長群はシトクロムcオキシダーゼのCu_B中心からのNO解離に適する、デバイス。</w:t>
      </w:r>
    </w:p>
    <w:p>
      <w:pPr>
        <w:spacing w:before="160" w:after="80" w:line="360" w:lineRule="exact"/>
        <w:jc w:val="both"/>
      </w:pPr>
      <w:r>
        <w:rPr>
          <w:rFonts w:ascii="MS Mincho" w:hAnsi="MS Mincho" w:eastAsia="MS Mincho"/>
          <w:b/>
          <w:sz w:val="22"/>
        </w:rPr>
        <w:t>【請求項4】</w:t>
      </w:r>
      <w:r>
        <w:rPr>
          <w:rFonts w:ascii="MS Mincho" w:hAnsi="MS Mincho" w:eastAsia="MS Mincho"/>
          <w:b w:val="0"/>
          <w:sz w:val="22"/>
        </w:rPr>
        <w:br/>
        <w:t>請求項1〜3のいずれかに記載のデバイスにおいて、前記制御手段は、前記照射期間（T_on）を3〜30秒、前記非照射期間（T_off）を1〜15秒に設定し、デューティサイクルを50〜80%の範囲で前記フィードバック制御により動的に調節する、デバイス。</w:t>
      </w:r>
    </w:p>
    <w:p>
      <w:pPr>
        <w:spacing w:before="160" w:after="80" w:line="360" w:lineRule="exact"/>
        <w:jc w:val="both"/>
      </w:pPr>
      <w:r>
        <w:rPr>
          <w:rFonts w:ascii="MS Mincho" w:hAnsi="MS Mincho" w:eastAsia="MS Mincho"/>
          <w:b/>
          <w:sz w:val="22"/>
        </w:rPr>
        <w:t>【請求項5】</w:t>
      </w:r>
      <w:r>
        <w:rPr>
          <w:rFonts w:ascii="MS Mincho" w:hAnsi="MS Mincho" w:eastAsia="MS Mincho"/>
          <w:b w:val="0"/>
          <w:sz w:val="22"/>
        </w:rPr>
        <w:br/>
        <w:t>請求項1〜4のいずれかに記載のデバイスにおいて、前記制御手段は、</w:t>
        <w:br/>
        <w:t>(i) 前記温度センサにより検知された末梢皮膚温が所定の下限閾値（28〜32°Cの範囲で設定可能）を下回った場合に、前記光照射手段の出力パワー密度を段階的に増強し、</w:t>
        <w:br/>
        <w:t>(ii) 前記末梢皮膚温が所定の上限閾値（38〜42°Cの範囲で設定可能）を超えた場合に、前記光照射手段を停止する安全遮断機能を有する、</w:t>
        <w:br/>
        <w:t>デバイス。</w:t>
      </w:r>
    </w:p>
    <w:p>
      <w:pPr>
        <w:spacing w:before="160" w:after="80" w:line="360" w:lineRule="exact"/>
        <w:jc w:val="both"/>
      </w:pPr>
      <w:r>
        <w:rPr>
          <w:rFonts w:ascii="MS Mincho" w:hAnsi="MS Mincho" w:eastAsia="MS Mincho"/>
          <w:b/>
          <w:sz w:val="22"/>
        </w:rPr>
        <w:t>【請求項6】</w:t>
      </w:r>
      <w:r>
        <w:rPr>
          <w:rFonts w:ascii="MS Mincho" w:hAnsi="MS Mincho" w:eastAsia="MS Mincho"/>
          <w:b w:val="0"/>
          <w:sz w:val="22"/>
        </w:rPr>
        <w:br/>
        <w:t>請求項1〜5のいずれかに記載のデバイスにおいて、</w:t>
        <w:br/>
        <w:t>光電容積脈波法（PPG）センサをさらに備え、前記PPGセンサの出力信号からパルストランジットタイム（PTT）またはパルス波形解析に基づき装着者の血圧を推定する血圧推定手段をさらに有し、</w:t>
        <w:br/>
        <w:t>前記制御手段は、前記血圧推定手段により推定された血圧値が所定の目標血圧範囲を超えている場合に前記光照射手段の出力を増強し、前記目標血圧範囲内にある場合に前記出力を維持または減弱する閉ループ血圧フィードバック制御を実行する、</w:t>
        <w:br/>
        <w:t>デバイス。</w:t>
      </w:r>
    </w:p>
    <w:p>
      <w:pPr>
        <w:spacing w:before="160" w:after="80" w:line="360" w:lineRule="exact"/>
        <w:jc w:val="both"/>
      </w:pPr>
      <w:r>
        <w:rPr>
          <w:rFonts w:ascii="MS Mincho" w:hAnsi="MS Mincho" w:eastAsia="MS Mincho"/>
          <w:b/>
          <w:sz w:val="22"/>
        </w:rPr>
        <w:t>【請求項7】</w:t>
      </w:r>
      <w:r>
        <w:rPr>
          <w:rFonts w:ascii="MS Mincho" w:hAnsi="MS Mincho" w:eastAsia="MS Mincho"/>
          <w:b w:val="0"/>
          <w:sz w:val="22"/>
        </w:rPr>
        <w:br/>
        <w:t>請求項1〜6のいずれかに記載のデバイスにおいて、前記デバイスは、</w:t>
        <w:br/>
        <w:t>(A) 手掌面を覆うグローブ型、</w:t>
        <w:br/>
        <w:t>(B) 足底面に配置されるインソール型、または</w:t>
        <w:br/>
        <w:t>(C) 手首から手掌にかけて巻き付けるバンド型</w:t>
        <w:br/>
        <w:t>のいずれかのウェアラブル形態を有する、デバイス。</w:t>
      </w:r>
    </w:p>
    <w:p>
      <w:pPr>
        <w:spacing w:before="160" w:after="80" w:line="360" w:lineRule="exact"/>
        <w:jc w:val="both"/>
      </w:pPr>
      <w:r>
        <w:rPr>
          <w:rFonts w:ascii="MS Mincho" w:hAnsi="MS Mincho" w:eastAsia="MS Mincho"/>
          <w:b/>
          <w:sz w:val="22"/>
        </w:rPr>
        <w:t>【請求項8】</w:t>
      </w:r>
      <w:r>
        <w:rPr>
          <w:rFonts w:ascii="MS Mincho" w:hAnsi="MS Mincho" w:eastAsia="MS Mincho"/>
          <w:b w:val="0"/>
          <w:sz w:val="22"/>
        </w:rPr>
        <w:br/>
        <w:t>請求項1〜7のいずれかに記載のウェアラブル末梢血流促進デバイスの制御方法であって、</w:t>
        <w:br/>
        <w:t>(i) 前記光照射手段により、装着者の無毛皮膚に630〜850 nm帯の光をパルス照射する照射工程、</w:t>
        <w:br/>
        <w:t>(ii) 前記温度センサにより、装着者の末梢皮膚温を所定間隔で測定する測定工程、</w:t>
        <w:br/>
        <w:t>(iii) 測定された前記皮膚温に基づき、前記光照射手段のパワー密度およびデューティサイクルの少なくとも一方を調節するフィードバック制御工程、および</w:t>
        <w:br/>
        <w:t>(iv) 測定された前記皮膚温が安全上限閾値を超えた場合に前記光照射手段を停止する安全遮断工程</w:t>
        <w:br/>
        <w:t>を含む、制御方法。</w:t>
      </w:r>
    </w:p>
    <w:p>
      <w:pPr>
        <w:spacing w:before="160" w:after="80" w:line="360" w:lineRule="exact"/>
        <w:jc w:val="both"/>
      </w:pPr>
      <w:r>
        <w:rPr>
          <w:rFonts w:ascii="MS Mincho" w:hAnsi="MS Mincho" w:eastAsia="MS Mincho"/>
          <w:b/>
          <w:sz w:val="22"/>
        </w:rPr>
        <w:t>【請求項9】</w:t>
      </w:r>
      <w:r>
        <w:rPr>
          <w:rFonts w:ascii="MS Mincho" w:hAnsi="MS Mincho" w:eastAsia="MS Mincho"/>
          <w:b w:val="0"/>
          <w:sz w:val="22"/>
        </w:rPr>
        <w:br/>
        <w:t>請求項8に記載の制御方法において、前記フィードバック制御工程は、</w:t>
        <w:br/>
        <w:t>前記皮膚温の時間変化率（dT/dt）が負の所定閾値を下回った場合に、寒冷環境への移行と判断して前記光照射手段の出力を先行的に増強する予測制御を含む、制御方法。</w:t>
      </w:r>
    </w:p>
    <w:p>
      <w:pPr>
        <w:spacing w:before="160" w:after="80" w:line="360" w:lineRule="exact"/>
        <w:jc w:val="both"/>
      </w:pPr>
      <w:r>
        <w:rPr>
          <w:rFonts w:ascii="MS Mincho" w:hAnsi="MS Mincho" w:eastAsia="MS Mincho"/>
          <w:b/>
          <w:sz w:val="22"/>
        </w:rPr>
        <w:t>【請求項10】</w:t>
      </w:r>
      <w:r>
        <w:rPr>
          <w:rFonts w:ascii="MS Mincho" w:hAnsi="MS Mincho" w:eastAsia="MS Mincho"/>
          <w:b w:val="0"/>
          <w:sz w:val="22"/>
        </w:rPr>
        <w:br/>
        <w:t>手掌および/または足底の無毛皮膚の表面に装着可能なウェアラブル末梢保温デバイスであって、</w:t>
        <w:br/>
        <w:t>(a) フレキシブル基板上に配列された複数のLED素子を含み、630〜850 nmの波長帯の光を前記無毛皮膚に照射する光照射手段、</w:t>
        <w:br/>
        <w:t>(b) 前記光照射手段を間欠的に駆動し、照射期間と非照射期間のデューティサイクルを制御する制御手段、</w:t>
        <w:br/>
        <w:t>(c) 装着者の末梢皮膚温を検知する温度センサ、および</w:t>
        <w:br/>
        <w:t>(d) 前記制御手段と無線通信により接続され、照射スケジュールの設定、使用履歴の記録、および末梢皮膚温の表示を提供する外部端末用アプリケーション</w:t>
        <w:br/>
        <w:t>を備え、</w:t>
        <w:br/>
        <w:t>前記制御手段は、前記温度センサにより検知された皮膚温に基づき前記光照射手段の出力をフィードバック制御し、前記光照射により末梢血流が増加して手足の保温効果が提供される、</w:t>
        <w:br/>
        <w:t>ウェアラブル末梢保温デバイス。</w:t>
      </w:r>
    </w:p>
    <w:p>
      <w:pPr>
        <w:spacing w:before="160" w:after="80" w:line="360" w:lineRule="exact"/>
        <w:jc w:val="both"/>
      </w:pPr>
      <w:r>
        <w:rPr>
          <w:rFonts w:ascii="MS Mincho" w:hAnsi="MS Mincho" w:eastAsia="MS Mincho"/>
          <w:b/>
          <w:sz w:val="22"/>
        </w:rPr>
        <w:t>【請求項11】</w:t>
      </w:r>
      <w:r>
        <w:rPr>
          <w:rFonts w:ascii="MS Mincho" w:hAnsi="MS Mincho" w:eastAsia="MS Mincho"/>
          <w:b w:val="0"/>
          <w:sz w:val="22"/>
        </w:rPr>
        <w:br/>
        <w:t>請求項10に記載の末梢保温デバイスにおいて、</w:t>
        <w:br/>
        <w:t>光電容積脈波法（PPG）センサのハードウェアが前記フレキシブル基板上に実装されており、出荷時には前記PPGセンサの機能がファームウェアにより無効化されており、</w:t>
        <w:br/>
        <w:t>ソフトウェアアップデートの適用により前記PPGセンサの機能が有効化され、前記PPGセンサの出力に基づく血圧推定機能および血圧フィードバック制御機能が追加されるように構成された、デバイス。</w:t>
      </w:r>
    </w:p>
    <w:p>
      <w:pPr>
        <w:spacing w:before="160" w:after="80" w:line="360" w:lineRule="exact"/>
        <w:jc w:val="both"/>
      </w:pPr>
      <w:r>
        <w:rPr>
          <w:rFonts w:ascii="MS Mincho" w:hAnsi="MS Mincho" w:eastAsia="MS Mincho"/>
          <w:b/>
          <w:sz w:val="22"/>
        </w:rPr>
        <w:t>【請求項12】</w:t>
      </w:r>
      <w:r>
        <w:rPr>
          <w:rFonts w:ascii="MS Mincho" w:hAnsi="MS Mincho" w:eastAsia="MS Mincho"/>
          <w:b w:val="0"/>
          <w:sz w:val="22"/>
        </w:rPr>
        <w:br/>
        <w:t>請求項10または11に記載のデバイスにおいて、前記外部端末用アプリケーションは、前記温度センサから取得した皮膚温データ、照射パラメータの履歴、および使用時間を匿名化して蓄積するデータ収集機能を有し、蓄積されたデータが前記デバイスの効果検証に利用可能である、デバイス。</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