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Summary</w:t>
      </w:r>
    </w:p>
    <w:p>
      <w:pPr>
        <w:spacing w:line="360" w:lineRule="auto"/>
      </w:pPr>
      <w:r>
        <w:t>Archaic-like segments near focal loci such as the ABO blood-group gene are often read as evidence of special population connections or migration routes, yet such readings are rarely tested against a genome-wide baseline that respects the dependence structure of pairwise data. We built a reproducible baseline for population-level archaic-segment sharing and used it as a well-powered negative test of exceptional-connection and focal-locus claims. High-confidence Neanderthal and Denisovan introgression calls from 3,134 individuals in 66 populations were summarised in 500-kilobase windows, and profile similarity was computed for 2,145 population pairs. Distance associations and pair-level outliers were assessed with population-label permutation tests and false-discovery-rate control. Profile similarity declined with geographic distance for Neanderthal (r=-0.497) and Denisovan (r=-0.462) segments, with partial distance correlations of -0.369 and -0.326 and permutation P values of 0.0001 and 0.0002. No non-admixed pair reached both a residual above two standard deviations and a false-discovery rate below 0.10, and a prespecified ABO-window scan showed no route-level signal. Population-level archaic-segment sharing reflects broad geographic structure but supports neither exceptional population pairs nor an ABO-mediated migration history, providing a reusable baseline for evaluating focal-locus archaic claims.</w:t>
      </w:r>
    </w:p>
    <w:p>
      <w:r>
        <w:rPr>
          <w:b/>
        </w:rPr>
        <w:t xml:space="preserve">Keywords: </w:t>
      </w:r>
      <w:r>
        <w:t>ABO Blood-Group System; Gene Flow; Genetics, Population; Models, Statistical; Neanderthals</w:t>
      </w:r>
    </w:p>
    <w:p>
      <w:r>
        <w:br w:type="page"/>
      </w:r>
    </w:p>
    <w:p>
      <w:pPr>
        <w:pStyle w:val="Heading1"/>
      </w:pPr>
      <w:r>
        <w:t>Introduction</w:t>
      </w:r>
    </w:p>
    <w:p>
      <w:pPr>
        <w:ind w:firstLine="432"/>
      </w:pPr>
      <w:r>
        <w:rPr>
          <w:rFonts w:ascii="Times New Roman" w:hAnsi="Times New Roman"/>
          <w:i w:val="0"/>
          <w:sz w:val="24"/>
        </w:rPr>
        <w:t>Genomic comparisons established gene flow from Neanderthals (Homo neanderthalensis)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use it as a well-powered negative test of two recurring claims: that particular population pairs share an exceptional excess of archaic segments, and that a focal locus such as ABO marks a specific migration route. A clearly framed negative result under dependence-aware inference is itself informative, because it sets the genome-wide expectation that any positive focal-locus or special-connection claim must exceed.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Because pair residuals are dyadically dependent, this null was generated by the same joint row-and-column population-label permutation used for the coefficient tests rather than by row-wise resampling, following the rationale for multiple-regression quadratic assignment with dependent dyads (Dekker, Krackhardt, and Snijders 2007).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extracted by a documented, reproducible script from the public Neanderthal-segment catalogue of Iasi et al. (2024), using the GRCh37 ABO interval that corresponds to the GRCh38 window analysed here; ancient and modern calls used different pipelines and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spacing w:before="320"/>
        <w:jc w:val="center"/>
      </w:pPr>
      <w:r>
        <w:drawing>
          <wp:inline xmlns:a="http://schemas.openxmlformats.org/drawingml/2006/main" xmlns:pic="http://schemas.openxmlformats.org/drawingml/2006/picture">
            <wp:extent cx="5806440" cy="2714541"/>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14541"/>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spacing w:before="320"/>
        <w:jc w:val="center"/>
      </w:pPr>
      <w:r>
        <w:drawing>
          <wp:inline xmlns:a="http://schemas.openxmlformats.org/drawingml/2006/main" xmlns:pic="http://schemas.openxmlformats.org/drawingml/2006/picture">
            <wp:extent cx="5806440" cy="2695784"/>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695784"/>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3440471"/>
            <wp:docPr id="3" name="Picture 3"/>
            <wp:cNvGraphicFramePr>
              <a:graphicFrameLocks noChangeAspect="1"/>
            </wp:cNvGraphicFramePr>
            <a:graphic>
              <a:graphicData uri="http://schemas.openxmlformats.org/drawingml/2006/picture">
                <pic:pic>
                  <pic:nvPicPr>
                    <pic:cNvPr id="0" name="fig4_sensitivity_admixed.png"/>
                    <pic:cNvPicPr/>
                  </pic:nvPicPr>
                  <pic:blipFill>
                    <a:blip r:embed="rId11"/>
                    <a:stretch>
                      <a:fillRect/>
                    </a:stretch>
                  </pic:blipFill>
                  <pic:spPr>
                    <a:xfrm>
                      <a:off x="0" y="0"/>
                      <a:ext cx="5806440" cy="3440471"/>
                    </a:xfrm>
                    <a:prstGeom prst="rect"/>
                  </pic:spPr>
                </pic:pic>
              </a:graphicData>
            </a:graphic>
          </wp:inline>
        </w:drawing>
      </w:r>
    </w:p>
    <w:p>
      <w:pPr>
        <w:spacing w:before="200" w:line="276" w:lineRule="auto"/>
      </w:pPr>
      <w:r>
        <w:rPr>
          <w:b/>
        </w:rPr>
        <w:t xml:space="preserve">Figure 3. </w:t>
      </w:r>
      <w:r>
        <w:t>Sensitivity of the descriptive Neanderthal distance correlation to exclusion of designated recently admixed populations.</w:t>
      </w:r>
    </w:p>
    <w:p>
      <w:pPr>
        <w:spacing w:before="320"/>
        <w:jc w:val="center"/>
      </w:pPr>
      <w:r>
        <w:drawing>
          <wp:inline xmlns:a="http://schemas.openxmlformats.org/drawingml/2006/main" xmlns:pic="http://schemas.openxmlformats.org/drawingml/2006/picture">
            <wp:extent cx="5806440" cy="3705395"/>
            <wp:docPr id="4" name="Picture 4"/>
            <wp:cNvGraphicFramePr>
              <a:graphicFrameLocks noChangeAspect="1"/>
            </wp:cNvGraphicFramePr>
            <a:graphic>
              <a:graphicData uri="http://schemas.openxmlformats.org/drawingml/2006/picture">
                <pic:pic>
                  <pic:nvPicPr>
                    <pic:cNvPr id="0" name="fig5_window_sensitivity.png"/>
                    <pic:cNvPicPr/>
                  </pic:nvPicPr>
                  <pic:blipFill>
                    <a:blip r:embed="rId12"/>
                    <a:stretch>
                      <a:fillRect/>
                    </a:stretch>
                  </pic:blipFill>
                  <pic:spPr>
                    <a:xfrm>
                      <a:off x="0" y="0"/>
                      <a:ext cx="5806440" cy="3705395"/>
                    </a:xfrm>
                    <a:prstGeom prst="rect"/>
                  </pic:spPr>
                </pic:pic>
              </a:graphicData>
            </a:graphic>
          </wp:inline>
        </w:drawing>
      </w:r>
    </w:p>
    <w:p>
      <w:pPr>
        <w:spacing w:before="200" w:line="276" w:lineRule="auto"/>
      </w:pPr>
      <w:r>
        <w:rPr>
          <w:b/>
        </w:rPr>
        <w:t xml:space="preserve">Figure 4. </w:t>
      </w:r>
      <w:r>
        <w:t>Descriptive geographic distance correlations at 250-kb, 500-kb, and 1-Mb window sizes. Quadratic assignment procedure results are tabulated in Supplementary Data.</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spacing w:before="280"/>
      </w:pPr>
      <w:r>
        <w:rPr>
          <w:b/>
        </w:rPr>
        <w:t>Table 1. Positive-residual Neanderthal pairs after false discovery rate control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Population 1</w:t>
            </w:r>
          </w:p>
        </w:tc>
        <w:tc>
          <w:tcPr>
            <w:tcW w:type="dxa" w:w="1337"/>
            <w:shd w:fill="D9EAF7"/>
          </w:tcPr>
          <w:p>
            <w:pPr>
              <w:spacing w:line="240" w:lineRule="auto"/>
            </w:pPr>
            <w:r>
              <w:rPr>
                <w:rFonts w:ascii="Arial" w:hAnsi="Arial"/>
                <w:b/>
                <w:sz w:val="17"/>
              </w:rPr>
              <w:t>Population 2</w:t>
            </w:r>
          </w:p>
        </w:tc>
        <w:tc>
          <w:tcPr>
            <w:tcW w:type="dxa" w:w="1337"/>
            <w:shd w:fill="D9EAF7"/>
          </w:tcPr>
          <w:p>
            <w:pPr>
              <w:spacing w:line="240" w:lineRule="auto"/>
            </w:pPr>
            <w:r>
              <w:rPr>
                <w:rFonts w:ascii="Arial" w:hAnsi="Arial"/>
                <w:b/>
                <w:sz w:val="17"/>
              </w:rPr>
              <w:t>Region 1</w:t>
            </w:r>
          </w:p>
        </w:tc>
        <w:tc>
          <w:tcPr>
            <w:tcW w:type="dxa" w:w="1337"/>
            <w:shd w:fill="D9EAF7"/>
          </w:tcPr>
          <w:p>
            <w:pPr>
              <w:spacing w:line="240" w:lineRule="auto"/>
            </w:pPr>
            <w:r>
              <w:rPr>
                <w:rFonts w:ascii="Arial" w:hAnsi="Arial"/>
                <w:b/>
                <w:sz w:val="17"/>
              </w:rPr>
              <w:t>Region 2</w:t>
            </w:r>
          </w:p>
        </w:tc>
        <w:tc>
          <w:tcPr>
            <w:tcW w:type="dxa" w:w="1337"/>
            <w:shd w:fill="D9EAF7"/>
          </w:tcPr>
          <w:p>
            <w:pPr>
              <w:spacing w:line="240" w:lineRule="auto"/>
            </w:pPr>
            <w:r>
              <w:rPr>
                <w:rFonts w:ascii="Arial" w:hAnsi="Arial"/>
                <w:b/>
                <w:sz w:val="17"/>
              </w:rPr>
              <w:t>Distance (km)</w:t>
            </w:r>
          </w:p>
        </w:tc>
        <w:tc>
          <w:tcPr>
            <w:tcW w:type="dxa" w:w="1337"/>
            <w:shd w:fill="D9EAF7"/>
          </w:tcPr>
          <w:p>
            <w:pPr>
              <w:spacing w:line="240" w:lineRule="auto"/>
            </w:pPr>
            <w:r>
              <w:rPr>
                <w:rFonts w:ascii="Arial" w:hAnsi="Arial"/>
                <w:b/>
                <w:sz w:val="17"/>
              </w:rPr>
              <w:t>Sharing (r)</w:t>
            </w:r>
          </w:p>
        </w:tc>
        <w:tc>
          <w:tcPr>
            <w:tcW w:type="dxa" w:w="1337"/>
            <w:shd w:fill="D9EAF7"/>
          </w:tcPr>
          <w:p>
            <w:pPr>
              <w:spacing w:line="240" w:lineRule="auto"/>
            </w:pPr>
            <w:r>
              <w:rPr>
                <w:rFonts w:ascii="Arial" w:hAnsi="Arial"/>
                <w:b/>
                <w:sz w:val="17"/>
              </w:rPr>
              <w:t>z-score</w:t>
            </w:r>
          </w:p>
        </w:tc>
      </w:tr>
      <w:tr>
        <w:tc>
          <w:tcPr>
            <w:tcW w:type="dxa" w:w="1337"/>
          </w:tcPr>
          <w:p>
            <w:pPr>
              <w:spacing w:line="240" w:lineRule="auto"/>
            </w:pPr>
            <w:r>
              <w:rPr>
                <w:rFonts w:ascii="Arial" w:hAnsi="Arial"/>
                <w:b w:val="0"/>
                <w:sz w:val="17"/>
              </w:rPr>
              <w:t>No qualifying pair</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No z&gt;2 and q&lt;0.10 result</w:t>
            </w:r>
          </w:p>
        </w:tc>
      </w:tr>
    </w:tbl>
    <w:p>
      <w:pPr>
        <w:spacing w:line="240" w:lineRule="auto"/>
      </w:pPr>
      <w:r>
        <w:rPr>
          <w:sz w:val="18"/>
        </w:rPr>
        <w:t>Note. The prespecified family contains all non-admixed population pairs. No pair met both z&gt;2 and Benjamini-Hochberg q&lt;0.10; the Denisovan analysis likewise identified no qualifying pair. Complete nominal rankings and dependence-aware model results are provided in Supplementary Data.</w:t>
      </w:r>
    </w:p>
    <w:p>
      <w:pPr>
        <w:pStyle w:val="Heading2"/>
      </w:pPr>
      <w:r>
        <w:t>Prespecified ABO-window check</w:t>
      </w:r>
    </w:p>
    <w:p>
      <w:pPr>
        <w:ind w:firstLine="432"/>
      </w:pPr>
      <w:r>
        <w:rPr>
          <w:rFonts w:ascii="Times New Roman" w:hAnsi="Times New Roman"/>
          <w:i w:val="0"/>
          <w:sz w:val="24"/>
        </w:rPr>
        <w:t>As a prespecified focal-locus check, the 500-kb ABO-centered scan identified 834 Neanderthal or Both source segments, of which 129 overlapped the ABO gene and 247 were tied for maximum reference similarity. In the Indigenous American HGDP subset only two segments among 41 represented individuals fell in the interval. Consistent with the genome-wide result, this focal scan produced no route-level signal; exploratory segment-level compositions and counts are provided as Supplementary material (Figure S2; Table S1) and are not interpreted as regional proportions or migration routes.</w:t>
      </w:r>
    </w:p>
    <w:p>
      <w:pPr>
        <w:pStyle w:val="Heading2"/>
      </w:pPr>
      <w:r>
        <w:t>Contextual displays</w:t>
      </w:r>
    </w:p>
    <w:p>
      <w:pPr>
        <w:ind w:firstLine="432"/>
      </w:pPr>
      <w:r>
        <w:rPr>
          <w:rFonts w:ascii="Times New Roman" w:hAnsi="Times New Roman"/>
          <w:i w:val="0"/>
          <w:sz w:val="24"/>
        </w:rPr>
        <w:t>Several descriptive context panels are provided as supplementary figures because they do not derive from the pairwise analysis. The O2-defining allele and ABO-window carrier summaries use different sources and are displayed descriptively rather than as an association analysis (Figure S3). Ancient and modern ABO-window observations were produced by different pipelines and permit no formal temporal comparison (Figure S4). A bivariate global map summarising each population's mean Neanderthal and Denisovan segment coverage from the present profiles provides broad geographic context and was not used in the statistical models (Figure S5).</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r>
        <w:t>Funding: This research received no specific grant from any funding agency in the public, commercial, or not-for-profit sectors.</w:t>
      </w:r>
    </w:p>
    <w:p>
      <w:pPr>
        <w:pStyle w:val="Heading1"/>
      </w:pPr>
      <w:r>
        <w:t>Data Availability</w:t>
      </w:r>
    </w:p>
    <w:p>
      <w:r>
        <w:t>Analysis scripts, aggregate derived data, figures, and document-generation code are available at https://github.com/bougtoir/denisovan-archaic-dna-analysis and will be fixed as release ahg-submission-2026-07 before submission. The source hmmix segment calls are available from Zenodo record 14136628 (https://doi.org/10.5281/zenodo.14136628). The ancient ABO-window observations were derived from the public Neanderthal-segment catalogue of Iasi et al. (2024), archived at Dryad (https://doi.org/10.5061/dryad.zw3r228gg); O2 subtype-defining allele frequencies were obtained from the Ensembl Variation application programming interface and from Ohashi et al. (2006). Raw-file SHA-256 checksums and all analysis parameters are included in analysis_provenance.json and ancient_abo_provenance.json.</w:t>
      </w:r>
    </w:p>
    <w:p>
      <w:pPr>
        <w:pStyle w:val="Heading1"/>
      </w:pPr>
      <w:r>
        <w:t>Conflict of Interest Statement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References</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