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t>大西 達紀</w:t>
      </w:r>
    </w:p>
    <w:p>
      <w:pPr>
        <w:spacing w:line="360" w:lineRule="auto"/>
      </w:pPr>
      <w:r>
        <w:t>滋賀大学 データサイエンス・AIイノベーション研究推進センター</w:t>
      </w:r>
    </w:p>
    <w:p>
      <w:pPr>
        <w:spacing w:line="360" w:lineRule="auto"/>
      </w:pPr>
      <w:r>
        <w:t>〒522-8522 滋賀県彦根市馬場1-1-1</w:t>
      </w:r>
    </w:p>
    <w:p>
      <w:pPr>
        <w:spacing w:line="360" w:lineRule="auto"/>
      </w:pPr>
      <w:r>
        <w:t>電話：+81-749-27-1023</w:t>
      </w:r>
    </w:p>
    <w:p>
      <w:pPr>
        <w:spacing w:line="360" w:lineRule="auto"/>
      </w:pPr>
      <w:r>
        <w:t>電子メール：bougtoir@gmail.com</w:t>
      </w:r>
    </w:p>
    <w:p>
      <w:pPr>
        <w:spacing w:line="360" w:lineRule="auto"/>
      </w:pPr>
      <w:r>
        <w:t>ORCID：0000-0001-7261-9062</w:t>
      </w:r>
    </w:p>
    <w:p>
      <w:pPr>
        <w:spacing w:line="360" w:lineRule="auto"/>
      </w:pPr>
    </w:p>
    <w:p>
      <w:pPr>
        <w:spacing w:line="360" w:lineRule="auto"/>
      </w:pPr>
      <w:r>
        <w:t>2026年5月19日</w:t>
      </w:r>
    </w:p>
    <w:p>
      <w:pPr>
        <w:spacing w:line="360" w:lineRule="auto"/>
      </w:pPr>
    </w:p>
    <w:p>
      <w:pPr>
        <w:spacing w:line="360" w:lineRule="auto"/>
      </w:pPr>
      <w:r>
        <w:t>The Coordinating Editor</w:t>
      </w:r>
    </w:p>
    <w:p>
      <w:pPr>
        <w:spacing w:line="360" w:lineRule="auto"/>
      </w:pPr>
      <w:r>
        <w:rPr>
          <w:i/>
        </w:rPr>
        <w:t>Empirical Economics</w:t>
      </w:r>
    </w:p>
    <w:p>
      <w:pPr>
        <w:spacing w:line="360" w:lineRule="auto"/>
      </w:pPr>
    </w:p>
    <w:p>
      <w:pPr>
        <w:spacing w:line="360" w:lineRule="auto"/>
      </w:pPr>
      <w:r>
        <w:t>拝啓</w:t>
      </w:r>
    </w:p>
    <w:p>
      <w:pPr>
        <w:spacing w:line="360" w:lineRule="auto"/>
      </w:pPr>
    </w:p>
    <w:p>
      <w:pPr>
        <w:spacing w:line="360" w:lineRule="auto"/>
      </w:pPr>
      <w:r>
        <w:t xml:space="preserve">このたび貴誌 </w:t>
      </w:r>
      <w:r>
        <w:rPr>
          <w:i/>
        </w:rPr>
        <w:t>Empirical Economics</w:t>
      </w:r>
      <w:r>
        <w:t xml:space="preserve"> に Article として、下記の原稿を投稿いたします。</w:t>
      </w:r>
    </w:p>
    <w:p>
      <w:pPr>
        <w:spacing w:line="360" w:lineRule="auto"/>
      </w:pPr>
    </w:p>
    <w:p>
      <w:pPr>
        <w:spacing w:line="360" w:lineRule="auto"/>
      </w:pPr>
      <w:r>
        <w:rPr>
          <w:b/>
        </w:rPr>
        <w:t>「Drifting Time-to-Build and the Forgotten Intangible Share: A Joint Identification of Flow and Stock National Accounts」</w:t>
      </w:r>
    </w:p>
    <w:p>
      <w:pPr>
        <w:spacing w:line="360" w:lineRule="auto"/>
      </w:pPr>
    </w:p>
    <w:p>
      <w:pPr>
        <w:spacing w:line="360" w:lineRule="auto"/>
      </w:pPr>
      <w:r>
        <w:t>本稿は、国民所得フローデータ（Penn World Table 10.01）と国富ストックデータ（世界銀行 Changing Wealth of Nations）の双方を用いて、二つの潜在パラメータ — 時変の投資・産出ラグ μ(t) と無形資本シェア β — を同時同定する枠組を 39 の OECD・中所得国に適用します。非凸目的関数上のグリッドサーチと残差ブートストラップ推定に基づく同定戦略は、生産面と国富面の情報内容を同時に活用し、いずれか一方のデータだけでは識別できない構造パラメータを特定します。</w:t>
      </w:r>
    </w:p>
    <w:p>
      <w:pPr>
        <w:spacing w:line="360" w:lineRule="auto"/>
      </w:pPr>
    </w:p>
    <w:p>
      <w:pPr>
        <w:spacing w:line="360" w:lineRule="auto"/>
      </w:pPr>
      <w:r>
        <w:t>実証的結果は以下の通りです。(i) 時変 μ(t) により GDP 水準の標本外 MAPE 中央値（2015–2019 ホールドアウト）が 4.60 % から 3.99 % へ、相対 13 % 改善します。(ii) 同時同定は 39 か国中 35 か国で μ = 0 を、28 か国で β = 0 を棄却し、ブートストラップ 95 % 領域の形状は R&amp;D 集約度と系統的に対応します。(iii) 人口学の Brass 関係モデルを資本会計に移植した新規の Relational PIM 診断により、補正が PIM–CWON 整合性パラメータ ρ̂₂ を一致に向かわせることを示します（中央値 0.801 → 0.833）。(iv) CWON 軌跡 RMSE ではテンポドリフト（M2）がソロー基準比 15 % 改善（0.0072 vs 0.0085）し、水準 MAPE が捉えないモデル性能の次元を明らかにします。</w:t>
      </w:r>
    </w:p>
    <w:p>
      <w:pPr>
        <w:spacing w:line="360" w:lineRule="auto"/>
      </w:pPr>
    </w:p>
    <w:p>
      <w:pPr>
        <w:spacing w:line="360" w:lineRule="auto"/>
      </w:pPr>
      <w:r>
        <w:t xml:space="preserve">本稿が </w:t>
      </w:r>
      <w:r>
        <w:rPr>
          <w:i/>
        </w:rPr>
        <w:t>Empirical Economics</w:t>
      </w:r>
      <w:r>
        <w:t xml:space="preserve"> に適すると考える理由は三点あります。第一に、非凸面上のグリッドサーチ・残差ブートストラップ・連立損失最小化といった先端的な計量・統計手法を大規模クロスカントリーパネルに適用し、経済理論とデータを突き合わせている点が、貴誌のスコープに直接適合します。第二に、標準的生産関数と恒久棚卸法以上の構造的仮定を必要としないため、異なるデータ年次やサンプルで再現可能です。第三に、Relational PIM 診断は国民会計におけるフロー=ストック整合性評価の汎用ツールであり、本稿の資本会計以外の文脈にも適用可能です。</w:t>
      </w:r>
    </w:p>
    <w:p>
      <w:pPr>
        <w:spacing w:line="360" w:lineRule="auto"/>
      </w:pPr>
    </w:p>
    <w:p>
      <w:pPr>
        <w:spacing w:line="360" w:lineRule="auto"/>
      </w:pPr>
      <w:r>
        <w:t>原稿は本文約 8,500 語、図 9 点、表 4 点からなります。</w:t>
      </w:r>
    </w:p>
    <w:p>
      <w:pPr>
        <w:spacing w:line="360" w:lineRule="auto"/>
      </w:pPr>
    </w:p>
    <w:p>
      <w:pPr>
        <w:spacing w:line="360" w:lineRule="auto"/>
      </w:pPr>
      <w:r>
        <w:t>下記を確認いたします。</w:t>
      </w:r>
    </w:p>
    <w:p>
      <w:pPr>
        <w:spacing w:line="360" w:lineRule="auto"/>
      </w:pPr>
    </w:p>
    <w:p>
      <w:pPr>
        <w:pStyle w:val="ListBullet"/>
        <w:spacing w:line="360" w:lineRule="auto"/>
      </w:pPr>
      <w:r>
        <w:t>本研究はオリジナルであり、他誌・他媒体に掲載されたことはありません。</w:t>
      </w:r>
    </w:p>
    <w:p>
      <w:pPr>
        <w:pStyle w:val="ListBullet"/>
        <w:spacing w:line="360" w:lineRule="auto"/>
      </w:pPr>
      <w:r>
        <w:t>他誌での査読中ではありません。</w:t>
      </w:r>
    </w:p>
    <w:p>
      <w:pPr>
        <w:pStyle w:val="ListBullet"/>
        <w:spacing w:line="360" w:lineRule="auto"/>
      </w:pPr>
      <w:r>
        <w:t>使用したデータ（Penn World Table 10.01、世界銀行 CWON、世界銀行 WDI）はいずれも公開データであり、解析コード・中間結果は公開リポジトリに保管されています。</w:t>
      </w:r>
    </w:p>
    <w:p>
      <w:pPr>
        <w:pStyle w:val="ListBullet"/>
        <w:spacing w:line="360" w:lineRule="auto"/>
      </w:pPr>
      <w:r>
        <w:t>単著です。</w:t>
      </w:r>
    </w:p>
    <w:p>
      <w:pPr>
        <w:pStyle w:val="ListBullet"/>
        <w:spacing w:line="360" w:lineRule="auto"/>
      </w:pPr>
      <w:r>
        <w:t>経済的・その他いかなる利益相反もありません。</w:t>
      </w:r>
    </w:p>
    <w:p>
      <w:pPr>
        <w:pStyle w:val="ListBullet"/>
        <w:spacing w:line="360" w:lineRule="auto"/>
      </w:pPr>
      <w:r>
        <w:t>文章の整形・語感調整・コード作成支援に生成 AI を使用しました。原稿中にて開示しています。</w:t>
      </w:r>
    </w:p>
    <w:p>
      <w:pPr>
        <w:spacing w:line="360" w:lineRule="auto"/>
      </w:pPr>
    </w:p>
    <w:p>
      <w:pPr>
        <w:spacing w:line="360" w:lineRule="auto"/>
      </w:pPr>
      <w:r>
        <w:t>ご検討のほど、何卒よろしくお願い申し上げます。</w:t>
      </w:r>
    </w:p>
    <w:p>
      <w:pPr>
        <w:spacing w:line="360" w:lineRule="auto"/>
      </w:pPr>
    </w:p>
    <w:p>
      <w:pPr>
        <w:spacing w:line="360" w:lineRule="auto"/>
      </w:pPr>
      <w:r>
        <w:t>敬具</w:t>
      </w:r>
    </w:p>
    <w:p>
      <w:pPr>
        <w:spacing w:line="360" w:lineRule="auto"/>
      </w:pPr>
    </w:p>
    <w:p>
      <w:pPr>
        <w:spacing w:line="360" w:lineRule="auto"/>
      </w:pPr>
      <w:r>
        <w:t>大西 達紀</w:t>
      </w:r>
    </w:p>
    <w:p>
      <w:pPr>
        <w:spacing w:line="360" w:lineRule="auto"/>
      </w:pPr>
      <w:r>
        <w:t>滋賀大学 データサイエンス・AIイノベーション研究推進センター</w:t>
      </w:r>
    </w:p>
    <w:p>
      <w:pPr>
        <w:spacing w:line="360" w:lineRule="auto"/>
      </w:pPr>
      <w:r>
        <w:t>bougtoir@gmail.com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Mincho" w:hAnsi="MS Mincho" w:eastAsia="MS 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