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Evaluating Healthcare Expenditure Sustainability in Japan: A Dual-Return Framework Integrating Input-Output Multipliers, Health-Capital Tempo, and Diagnostic Equipment Stock with Cross-Country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I-O Sustainability</w:t>
      </w:r>
    </w:p>
    <w:p/>
    <w:p>
      <w:r>
        <w:rPr>
          <w:b/>
        </w:rPr>
        <w:t xml:space="preserve">Total word count: </w:t>
      </w:r>
      <w:r>
        <w:t>approximately 7,800 words (Text, References, Tables, and Figure Legends)</w:t>
      </w:r>
    </w:p>
    <w:p/>
    <w:p>
      <w:r>
        <w:rPr>
          <w:b/>
        </w:rPr>
        <w:t xml:space="preserve">Number of figures: </w:t>
      </w:r>
      <w:r>
        <w:t>9</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to be contained, particularly given rapid population aging. However, healthcare is also a major economic sector whose demand-side and supply-side returns are rarely quantified together. This study evaluates the sustainability of Japan's healthcare expenditure through a dual-return framework integrating input-output (I-O) multipliers, health-capital tempo effects, and diagnostic equipment stock valuation, with cross-country benchmarking across 13 OECD countries.</w:t>
      </w:r>
    </w:p>
    <w:p>
      <w:r>
        <w:rPr>
          <w:b/>
        </w:rPr>
        <w:t xml:space="preserve">Methods: </w:t>
      </w:r>
      <w:r>
        <w:t>We compiled healthcare sector I-O output multipliers for 13 OECD countries from published national and EU-28 framework studies. A fiscal return ratio (effective tax rate times output multiplier divided by public financing share) was computed for each country, with sensitivity analyses using approximate value-added multipliers and deficit-adjusted denominators. The tempo model from a companion analysis (39 countries, 2000-2019) was integrated to capture supply-side health-capital accumulation; model selection used LOOCV RMSE, AIC, and BIC. Equipment density and import leakage effects on effective multipliers were modeled, and counterfactual scenarios were constructed for Japan with sensitivity analysis around the equipment-related CHE share assumption (5-25%).</w:t>
      </w:r>
    </w:p>
    <w:p>
      <w:r>
        <w:rPr>
          <w:b/>
        </w:rPr>
        <w:t xml:space="preserve">Results: </w:t>
      </w:r>
      <w:r>
        <w:t>Using output multipliers, the demand-side fiscal return ratio exceeded 1.0 in five of thirteen countries (France 1.18, Italy 1.13, Japan 1.09, Sweden 1.04, Finland 1.04). With value-added multipliers, no country exceeded 1.0, indicating that the output multiplier provides an upper bound. Japan's ratio fell from 1.09 to 1.04 after adjusting for 5% import leakage. Counterfactual analysis showed that reducing equipment density to the OECD average would lower the ratio to 0.98 (95% sensitivity range 0.94-1.02 for equipment share 5-25%), indicating that the sustainability conclusion is sensitive to this assumption. The tempo model confirmed a spending-to-outcome lag (M1 vs M0: RMSE 0.441 vs 0.510, LOOCV 0.472 vs 0.538); however, the time-varying extension (M2 vs M1) showed only marginal improvement that did not survive BIC penalization.</w:t>
      </w:r>
    </w:p>
    <w:p>
      <w:r>
        <w:rPr>
          <w:b/>
        </w:rPr>
        <w:t xml:space="preserve">Conclusions: </w:t>
      </w:r>
      <w:r>
        <w:t>Japan's healthcare expenditure generates substantial demand-side economic returns via I-O multiplier effects. However, whether these returns fully cover public costs depends on methodological assumptions, including multiplier type (output vs value-added), deficit financing treatment, and equipment-related spending share. Japan's high diagnostic equipment density contributes to the economic return but its net effect on sustainability requires evaluation alongside over-supply risks and workforce constraints. The findings support integrating economic return analysis into healthcare policy evaluation, while cautioning against deterministic sustainability claims.</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Onishi ported this quantum-tempo decomposition to capital accounting, introducing the investment-to-output time-to-build lag as an analogous 'forgotten parameter' in GDP accounting</w:t>
      </w:r>
      <w:r>
        <w:rPr>
          <w:sz w:val="20"/>
          <w:vertAlign w:val="superscript"/>
        </w:rPr>
        <w:t>22</w:t>
      </w:r>
      <w:r>
        <w:t>. Extension to healthcare (termed 'Candidate A-H')</w:t>
      </w:r>
      <w:r>
        <w:rPr>
          <w:sz w:val="20"/>
          <w:vertAlign w:val="superscript"/>
        </w:rPr>
        <w:t>23</w:t>
      </w:r>
      <w:r>
        <w:t xml:space="preserve"> models the spending-to-outcome lag and revealed a tempo drift of +0.15 yr/yr across 39 countries (2000-2019).</w:t>
      </w:r>
    </w:p>
    <w:p>
      <w:r>
        <w:t>Japan is also known for its extremely high diagnostic imaging equipment density</w:t>
      </w:r>
      <w:r>
        <w:rPr>
          <w:sz w:val="20"/>
          <w:vertAlign w:val="superscript"/>
        </w:rPr>
        <w:t>1,24</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25</w:t>
      </w:r>
      <w:r>
        <w:t>.</w:t>
      </w:r>
    </w:p>
    <w:p>
      <w:r>
        <w:t>An important structural context is Japan's physician density: at 2.5 physicians per 1,000 population, Japan ranks among the lowest in the OECD (average 3.7)</w:t>
      </w:r>
      <w:r>
        <w:rPr>
          <w:sz w:val="20"/>
          <w:vertAlign w:val="superscript"/>
        </w:rPr>
        <w:t>26</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27</w:t>
      </w:r>
      <w:r>
        <w:t>.</w:t>
      </w:r>
    </w:p>
    <w:p>
      <w:r>
        <w:t>The aim of this study was to (1) evaluate the sustainability of Japan's healthcare expenditure from a neutral standpoint as both cost and economic effect, using a dual-return framework integrating demand-side I-O multipliers and supply-side health-capital tempo effects,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1,24</w:t>
      </w:r>
      <w:r>
        <w:t>, the World Bank World Development Indicators</w:t>
      </w:r>
      <w:r>
        <w:rPr>
          <w:sz w:val="20"/>
          <w:vertAlign w:val="superscript"/>
        </w:rPr>
        <w:t>28</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25</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fully specified in the companion proof-of-concept (publicly available at ref 23), captures supply-side health-capital accumulation. The model treats health expenditure as a stock-building flow with a time-varying spending-to-outcome lag:</w:t>
      </w:r>
    </w:p>
    <w:p>
      <w:pPr>
        <w:jc w:val="center"/>
      </w:pPr>
      <w:r>
        <w:rPr>
          <w:i/>
          <w:sz w:val="24"/>
        </w:rPr>
        <w:t>LE(t) = α + β · H_stock(t) + ε(t)</w:t>
      </w:r>
    </w:p>
    <w:p>
      <w:r>
        <w:t>where LE(t) is life expectancy at birth, H_stock(t) is the health-capital stock constructed via perpetual inventory method from per-capita health expenditure (PPP) using World Bank data (2000-2019, 39 countries). The investment-to-outcome lag is specified as:</w:t>
      </w:r>
    </w:p>
    <w:p>
      <w:pPr>
        <w:jc w:val="center"/>
      </w:pPr>
      <w:r>
        <w:rPr>
          <w:i/>
          <w:sz w:val="24"/>
        </w:rPr>
        <w:t>μ_H(t) = μ_H0 + μ_H1 × (year − t₀)</w:t>
      </w:r>
    </w:p>
    <w:p>
      <w:r>
        <w:t>Three model variants were compared: M0 (flow-only, no lag, 2 parameters), M1 (constant lag μ* = 4 years, 3 parameters), and M2 (time-varying lag, 5 parameters: intercept, slope, μ_H0, μ_H1, and drift variance). The dependent variable was life expectancy at birth; estimation was by nonlinear least squares with grid search over the lag parameters. Key M2 point estimates: μ_H0 = 3.2 years (SE = 0.8), μ_H1 = +0.15 yr/yr (SE = 0.04), where μ_H0 is the initial spending-to-outcome lag and μ_H1 is the annual drift in this lag</w:t>
      </w:r>
      <w:r>
        <w:rPr>
          <w:sz w:val="20"/>
          <w:vertAlign w:val="superscript"/>
        </w:rPr>
        <w:t>23</w:t>
      </w:r>
      <w:r>
        <w:t>.</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24</w:t>
      </w:r>
      <w:r>
        <w:t>. Medical import leakage was calculated as the net imports of pharmaceuticals (HS30) and medical devices (HS9018-22) divided by CHE</w:t>
      </w:r>
      <w:r>
        <w:rPr>
          <w:sz w:val="20"/>
          <w:vertAlign w:val="superscript"/>
        </w:rPr>
        <w:t>25</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29</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rFonts w:ascii="Times New Roman" w:hAnsi="Times New Roman"/>
                <w:b/>
                <w:sz w:val="20"/>
              </w:rPr>
              <w:t>Country</w:t>
            </w:r>
          </w:p>
        </w:tc>
        <w:tc>
          <w:tcPr>
            <w:tcW w:type="dxa" w:w="1128"/>
          </w:tcPr>
          <w:p>
            <w:r>
              <w:rPr>
                <w:rFonts w:ascii="Times New Roman" w:hAnsi="Times New Roman"/>
                <w:b/>
                <w:sz w:val="20"/>
              </w:rPr>
              <w:t>Output Mult.</w:t>
            </w:r>
          </w:p>
        </w:tc>
        <w:tc>
          <w:tcPr>
            <w:tcW w:type="dxa" w:w="1128"/>
          </w:tcPr>
          <w:p>
            <w:r>
              <w:rPr>
                <w:rFonts w:ascii="Times New Roman" w:hAnsi="Times New Roman"/>
                <w:b/>
                <w:sz w:val="20"/>
              </w:rPr>
              <w:t>VA Mult.</w:t>
            </w:r>
          </w:p>
        </w:tc>
        <w:tc>
          <w:tcPr>
            <w:tcW w:type="dxa" w:w="1128"/>
          </w:tcPr>
          <w:p>
            <w:r>
              <w:rPr>
                <w:rFonts w:ascii="Times New Roman" w:hAnsi="Times New Roman"/>
                <w:b/>
                <w:sz w:val="20"/>
              </w:rPr>
              <w:t>Eff. Tax Rate</w:t>
            </w:r>
          </w:p>
        </w:tc>
        <w:tc>
          <w:tcPr>
            <w:tcW w:type="dxa" w:w="1128"/>
          </w:tcPr>
          <w:p>
            <w:r>
              <w:rPr>
                <w:rFonts w:ascii="Times New Roman" w:hAnsi="Times New Roman"/>
                <w:b/>
                <w:sz w:val="20"/>
              </w:rPr>
              <w:t>Public Share</w:t>
            </w:r>
          </w:p>
        </w:tc>
        <w:tc>
          <w:tcPr>
            <w:tcW w:type="dxa" w:w="1128"/>
          </w:tcPr>
          <w:p>
            <w:r>
              <w:rPr>
                <w:rFonts w:ascii="Times New Roman" w:hAnsi="Times New Roman"/>
                <w:b/>
                <w:sz w:val="20"/>
              </w:rPr>
              <w:t>Deficit Share</w:t>
            </w:r>
          </w:p>
        </w:tc>
        <w:tc>
          <w:tcPr>
            <w:tcW w:type="dxa" w:w="1128"/>
          </w:tcPr>
          <w:p>
            <w:r>
              <w:rPr>
                <w:rFonts w:ascii="Times New Roman" w:hAnsi="Times New Roman"/>
                <w:b/>
                <w:sz w:val="20"/>
              </w:rPr>
              <w:t>FR (Output)</w:t>
            </w:r>
          </w:p>
        </w:tc>
        <w:tc>
          <w:tcPr>
            <w:tcW w:type="dxa" w:w="1128"/>
          </w:tcPr>
          <w:p>
            <w:r>
              <w:rPr>
                <w:rFonts w:ascii="Times New Roman" w:hAnsi="Times New Roman"/>
                <w:b/>
                <w:sz w:val="20"/>
              </w:rPr>
              <w:t>FR (VA)</w:t>
            </w:r>
          </w:p>
        </w:tc>
      </w:tr>
      <w:tr>
        <w:tc>
          <w:tcPr>
            <w:tcW w:type="dxa" w:w="1128"/>
          </w:tcPr>
          <w:p>
            <w:r>
              <w:rPr>
                <w:rFonts w:ascii="Times New Roman" w:hAnsi="Times New Roman"/>
                <w:sz w:val="20"/>
              </w:rPr>
              <w:t>Japan</w:t>
            </w:r>
          </w:p>
        </w:tc>
        <w:tc>
          <w:tcPr>
            <w:tcW w:type="dxa" w:w="1128"/>
          </w:tcPr>
          <w:p>
            <w:r>
              <w:rPr>
                <w:rFonts w:ascii="Times New Roman" w:hAnsi="Times New Roman"/>
                <w:sz w:val="20"/>
              </w:rPr>
              <w:t>2.78</w:t>
            </w:r>
          </w:p>
        </w:tc>
        <w:tc>
          <w:tcPr>
            <w:tcW w:type="dxa" w:w="1128"/>
          </w:tcPr>
          <w:p>
            <w:r>
              <w:rPr>
                <w:rFonts w:ascii="Times New Roman" w:hAnsi="Times New Roman"/>
                <w:sz w:val="20"/>
              </w:rPr>
              <w:t>1.53</w:t>
            </w:r>
          </w:p>
        </w:tc>
        <w:tc>
          <w:tcPr>
            <w:tcW w:type="dxa" w:w="1128"/>
          </w:tcPr>
          <w:p>
            <w:r>
              <w:rPr>
                <w:rFonts w:ascii="Times New Roman" w:hAnsi="Times New Roman"/>
                <w:sz w:val="20"/>
              </w:rPr>
              <w:t>0.33</w:t>
            </w:r>
          </w:p>
        </w:tc>
        <w:tc>
          <w:tcPr>
            <w:tcW w:type="dxa" w:w="1128"/>
          </w:tcPr>
          <w:p>
            <w:r>
              <w:rPr>
                <w:rFonts w:ascii="Times New Roman" w:hAnsi="Times New Roman"/>
                <w:sz w:val="20"/>
              </w:rPr>
              <w:t>0.84</w:t>
            </w:r>
          </w:p>
        </w:tc>
        <w:tc>
          <w:tcPr>
            <w:tcW w:type="dxa" w:w="1128"/>
          </w:tcPr>
          <w:p>
            <w:r>
              <w:rPr>
                <w:rFonts w:ascii="Times New Roman" w:hAnsi="Times New Roman"/>
                <w:sz w:val="20"/>
              </w:rPr>
              <w:t>0.35</w:t>
            </w:r>
          </w:p>
        </w:tc>
        <w:tc>
          <w:tcPr>
            <w:tcW w:type="dxa" w:w="1128"/>
          </w:tcPr>
          <w:p>
            <w:r>
              <w:rPr>
                <w:rFonts w:ascii="Times New Roman" w:hAnsi="Times New Roman"/>
                <w:sz w:val="20"/>
              </w:rPr>
              <w:t>1.09</w:t>
            </w:r>
          </w:p>
        </w:tc>
        <w:tc>
          <w:tcPr>
            <w:tcW w:type="dxa" w:w="1128"/>
          </w:tcPr>
          <w:p>
            <w:r>
              <w:rPr>
                <w:rFonts w:ascii="Times New Roman" w:hAnsi="Times New Roman"/>
                <w:sz w:val="20"/>
              </w:rPr>
              <w:t>0.6</w:t>
            </w:r>
          </w:p>
        </w:tc>
      </w:tr>
      <w:tr>
        <w:tc>
          <w:tcPr>
            <w:tcW w:type="dxa" w:w="1128"/>
          </w:tcPr>
          <w:p>
            <w:r>
              <w:rPr>
                <w:rFonts w:ascii="Times New Roman" w:hAnsi="Times New Roman"/>
                <w:sz w:val="20"/>
              </w:rPr>
              <w:t>USA</w:t>
            </w:r>
          </w:p>
        </w:tc>
        <w:tc>
          <w:tcPr>
            <w:tcW w:type="dxa" w:w="1128"/>
          </w:tcPr>
          <w:p>
            <w:r>
              <w:rPr>
                <w:rFonts w:ascii="Times New Roman" w:hAnsi="Times New Roman"/>
                <w:sz w:val="20"/>
              </w:rPr>
              <w:t>1.7</w:t>
            </w:r>
          </w:p>
        </w:tc>
        <w:tc>
          <w:tcPr>
            <w:tcW w:type="dxa" w:w="1128"/>
          </w:tcPr>
          <w:p>
            <w:r>
              <w:rPr>
                <w:rFonts w:ascii="Times New Roman" w:hAnsi="Times New Roman"/>
                <w:sz w:val="20"/>
              </w:rPr>
              <w:t>1.02</w:t>
            </w:r>
          </w:p>
        </w:tc>
        <w:tc>
          <w:tcPr>
            <w:tcW w:type="dxa" w:w="1128"/>
          </w:tcPr>
          <w:p>
            <w:r>
              <w:rPr>
                <w:rFonts w:ascii="Times New Roman" w:hAnsi="Times New Roman"/>
                <w:sz w:val="20"/>
              </w:rPr>
              <w:t>0.27</w:t>
            </w:r>
          </w:p>
        </w:tc>
        <w:tc>
          <w:tcPr>
            <w:tcW w:type="dxa" w:w="1128"/>
          </w:tcPr>
          <w:p>
            <w:r>
              <w:rPr>
                <w:rFonts w:ascii="Times New Roman" w:hAnsi="Times New Roman"/>
                <w:sz w:val="20"/>
              </w:rPr>
              <w:t>0.5</w:t>
            </w:r>
          </w:p>
        </w:tc>
        <w:tc>
          <w:tcPr>
            <w:tcW w:type="dxa" w:w="1128"/>
          </w:tcPr>
          <w:p>
            <w:r>
              <w:rPr>
                <w:rFonts w:ascii="Times New Roman" w:hAnsi="Times New Roman"/>
                <w:sz w:val="20"/>
              </w:rPr>
              <w:t>0.25</w:t>
            </w:r>
          </w:p>
        </w:tc>
        <w:tc>
          <w:tcPr>
            <w:tcW w:type="dxa" w:w="1128"/>
          </w:tcPr>
          <w:p>
            <w:r>
              <w:rPr>
                <w:rFonts w:ascii="Times New Roman" w:hAnsi="Times New Roman"/>
                <w:sz w:val="20"/>
              </w:rPr>
              <w:t>0.92</w:t>
            </w:r>
          </w:p>
        </w:tc>
        <w:tc>
          <w:tcPr>
            <w:tcW w:type="dxa" w:w="1128"/>
          </w:tcPr>
          <w:p>
            <w:r>
              <w:rPr>
                <w:rFonts w:ascii="Times New Roman" w:hAnsi="Times New Roman"/>
                <w:sz w:val="20"/>
              </w:rPr>
              <w:t>0.55</w:t>
            </w:r>
          </w:p>
        </w:tc>
      </w:tr>
      <w:tr>
        <w:tc>
          <w:tcPr>
            <w:tcW w:type="dxa" w:w="1128"/>
          </w:tcPr>
          <w:p>
            <w:r>
              <w:rPr>
                <w:rFonts w:ascii="Times New Roman" w:hAnsi="Times New Roman"/>
                <w:sz w:val="20"/>
              </w:rPr>
              <w:t>Germany</w:t>
            </w:r>
          </w:p>
        </w:tc>
        <w:tc>
          <w:tcPr>
            <w:tcW w:type="dxa" w:w="1128"/>
          </w:tcPr>
          <w:p>
            <w:r>
              <w:rPr>
                <w:rFonts w:ascii="Times New Roman" w:hAnsi="Times New Roman"/>
                <w:sz w:val="20"/>
              </w:rPr>
              <w:t>2.1</w:t>
            </w:r>
          </w:p>
        </w:tc>
        <w:tc>
          <w:tcPr>
            <w:tcW w:type="dxa" w:w="1128"/>
          </w:tcPr>
          <w:p>
            <w:r>
              <w:rPr>
                <w:rFonts w:ascii="Times New Roman" w:hAnsi="Times New Roman"/>
                <w:sz w:val="20"/>
              </w:rPr>
              <w:t>1.26</w:t>
            </w:r>
          </w:p>
        </w:tc>
        <w:tc>
          <w:tcPr>
            <w:tcW w:type="dxa" w:w="1128"/>
          </w:tcPr>
          <w:p>
            <w:r>
              <w:rPr>
                <w:rFonts w:ascii="Times New Roman" w:hAnsi="Times New Roman"/>
                <w:sz w:val="20"/>
              </w:rPr>
              <w:t>0.39</w:t>
            </w:r>
          </w:p>
        </w:tc>
        <w:tc>
          <w:tcPr>
            <w:tcW w:type="dxa" w:w="1128"/>
          </w:tcPr>
          <w:p>
            <w:r>
              <w:rPr>
                <w:rFonts w:ascii="Times New Roman" w:hAnsi="Times New Roman"/>
                <w:sz w:val="20"/>
              </w:rPr>
              <w:t>0.85</w:t>
            </w:r>
          </w:p>
        </w:tc>
        <w:tc>
          <w:tcPr>
            <w:tcW w:type="dxa" w:w="1128"/>
          </w:tcPr>
          <w:p>
            <w:r>
              <w:rPr>
                <w:rFonts w:ascii="Times New Roman" w:hAnsi="Times New Roman"/>
                <w:sz w:val="20"/>
              </w:rPr>
              <w:t>0.04</w:t>
            </w:r>
          </w:p>
        </w:tc>
        <w:tc>
          <w:tcPr>
            <w:tcW w:type="dxa" w:w="1128"/>
          </w:tcPr>
          <w:p>
            <w:r>
              <w:rPr>
                <w:rFonts w:ascii="Times New Roman" w:hAnsi="Times New Roman"/>
                <w:sz w:val="20"/>
              </w:rPr>
              <w:t>0.96</w:t>
            </w:r>
          </w:p>
        </w:tc>
        <w:tc>
          <w:tcPr>
            <w:tcW w:type="dxa" w:w="1128"/>
          </w:tcPr>
          <w:p>
            <w:r>
              <w:rPr>
                <w:rFonts w:ascii="Times New Roman" w:hAnsi="Times New Roman"/>
                <w:sz w:val="20"/>
              </w:rPr>
              <w:t>0.58</w:t>
            </w:r>
          </w:p>
        </w:tc>
      </w:tr>
      <w:tr>
        <w:tc>
          <w:tcPr>
            <w:tcW w:type="dxa" w:w="1128"/>
          </w:tcPr>
          <w:p>
            <w:r>
              <w:rPr>
                <w:rFonts w:ascii="Times New Roman" w:hAnsi="Times New Roman"/>
                <w:sz w:val="20"/>
              </w:rPr>
              <w:t>UK</w:t>
            </w:r>
          </w:p>
        </w:tc>
        <w:tc>
          <w:tcPr>
            <w:tcW w:type="dxa" w:w="1128"/>
          </w:tcPr>
          <w:p>
            <w:r>
              <w:rPr>
                <w:rFonts w:ascii="Times New Roman" w:hAnsi="Times New Roman"/>
                <w:sz w:val="20"/>
              </w:rPr>
              <w:t>1.9</w:t>
            </w:r>
          </w:p>
        </w:tc>
        <w:tc>
          <w:tcPr>
            <w:tcW w:type="dxa" w:w="1128"/>
          </w:tcPr>
          <w:p>
            <w:r>
              <w:rPr>
                <w:rFonts w:ascii="Times New Roman" w:hAnsi="Times New Roman"/>
                <w:sz w:val="20"/>
              </w:rPr>
              <w:t>1.14</w:t>
            </w:r>
          </w:p>
        </w:tc>
        <w:tc>
          <w:tcPr>
            <w:tcW w:type="dxa" w:w="1128"/>
          </w:tcPr>
          <w:p>
            <w:r>
              <w:rPr>
                <w:rFonts w:ascii="Times New Roman" w:hAnsi="Times New Roman"/>
                <w:sz w:val="20"/>
              </w:rPr>
              <w:t>0.33</w:t>
            </w:r>
          </w:p>
        </w:tc>
        <w:tc>
          <w:tcPr>
            <w:tcW w:type="dxa" w:w="1128"/>
          </w:tcPr>
          <w:p>
            <w:r>
              <w:rPr>
                <w:rFonts w:ascii="Times New Roman" w:hAnsi="Times New Roman"/>
                <w:sz w:val="20"/>
              </w:rPr>
              <w:t>0.8</w:t>
            </w:r>
          </w:p>
        </w:tc>
        <w:tc>
          <w:tcPr>
            <w:tcW w:type="dxa" w:w="1128"/>
          </w:tcPr>
          <w:p>
            <w:r>
              <w:rPr>
                <w:rFonts w:ascii="Times New Roman" w:hAnsi="Times New Roman"/>
                <w:sz w:val="20"/>
              </w:rPr>
              <w:t>0.12</w:t>
            </w:r>
          </w:p>
        </w:tc>
        <w:tc>
          <w:tcPr>
            <w:tcW w:type="dxa" w:w="1128"/>
          </w:tcPr>
          <w:p>
            <w:r>
              <w:rPr>
                <w:rFonts w:ascii="Times New Roman" w:hAnsi="Times New Roman"/>
                <w:sz w:val="20"/>
              </w:rPr>
              <w:t>0.78</w:t>
            </w:r>
          </w:p>
        </w:tc>
        <w:tc>
          <w:tcPr>
            <w:tcW w:type="dxa" w:w="1128"/>
          </w:tcPr>
          <w:p>
            <w:r>
              <w:rPr>
                <w:rFonts w:ascii="Times New Roman" w:hAnsi="Times New Roman"/>
                <w:sz w:val="20"/>
              </w:rPr>
              <w:t>0.47</w:t>
            </w:r>
          </w:p>
        </w:tc>
      </w:tr>
      <w:tr>
        <w:tc>
          <w:tcPr>
            <w:tcW w:type="dxa" w:w="1128"/>
          </w:tcPr>
          <w:p>
            <w:r>
              <w:rPr>
                <w:rFonts w:ascii="Times New Roman" w:hAnsi="Times New Roman"/>
                <w:sz w:val="20"/>
              </w:rPr>
              <w:t>France</w:t>
            </w:r>
          </w:p>
        </w:tc>
        <w:tc>
          <w:tcPr>
            <w:tcW w:type="dxa" w:w="1128"/>
          </w:tcPr>
          <w:p>
            <w:r>
              <w:rPr>
                <w:rFonts w:ascii="Times New Roman" w:hAnsi="Times New Roman"/>
                <w:sz w:val="20"/>
              </w:rPr>
              <w:t>2.2</w:t>
            </w:r>
          </w:p>
        </w:tc>
        <w:tc>
          <w:tcPr>
            <w:tcW w:type="dxa" w:w="1128"/>
          </w:tcPr>
          <w:p>
            <w:r>
              <w:rPr>
                <w:rFonts w:ascii="Times New Roman" w:hAnsi="Times New Roman"/>
                <w:sz w:val="20"/>
              </w:rPr>
              <w:t>1.32</w:t>
            </w:r>
          </w:p>
        </w:tc>
        <w:tc>
          <w:tcPr>
            <w:tcW w:type="dxa" w:w="1128"/>
          </w:tcPr>
          <w:p>
            <w:r>
              <w:rPr>
                <w:rFonts w:ascii="Times New Roman" w:hAnsi="Times New Roman"/>
                <w:sz w:val="20"/>
              </w:rPr>
              <w:t>0.45</w:t>
            </w:r>
          </w:p>
        </w:tc>
        <w:tc>
          <w:tcPr>
            <w:tcW w:type="dxa" w:w="1128"/>
          </w:tcPr>
          <w:p>
            <w:r>
              <w:rPr>
                <w:rFonts w:ascii="Times New Roman" w:hAnsi="Times New Roman"/>
                <w:sz w:val="20"/>
              </w:rPr>
              <w:t>0.84</w:t>
            </w:r>
          </w:p>
        </w:tc>
        <w:tc>
          <w:tcPr>
            <w:tcW w:type="dxa" w:w="1128"/>
          </w:tcPr>
          <w:p>
            <w:r>
              <w:rPr>
                <w:rFonts w:ascii="Times New Roman" w:hAnsi="Times New Roman"/>
                <w:sz w:val="20"/>
              </w:rPr>
              <w:t>0.1</w:t>
            </w:r>
          </w:p>
        </w:tc>
        <w:tc>
          <w:tcPr>
            <w:tcW w:type="dxa" w:w="1128"/>
          </w:tcPr>
          <w:p>
            <w:r>
              <w:rPr>
                <w:rFonts w:ascii="Times New Roman" w:hAnsi="Times New Roman"/>
                <w:sz w:val="20"/>
              </w:rPr>
              <w:t>1.18</w:t>
            </w:r>
          </w:p>
        </w:tc>
        <w:tc>
          <w:tcPr>
            <w:tcW w:type="dxa" w:w="1128"/>
          </w:tcPr>
          <w:p>
            <w:r>
              <w:rPr>
                <w:rFonts w:ascii="Times New Roman" w:hAnsi="Times New Roman"/>
                <w:sz w:val="20"/>
              </w:rPr>
              <w:t>0.71</w:t>
            </w:r>
          </w:p>
        </w:tc>
      </w:tr>
      <w:tr>
        <w:tc>
          <w:tcPr>
            <w:tcW w:type="dxa" w:w="1128"/>
          </w:tcPr>
          <w:p>
            <w:r>
              <w:rPr>
                <w:rFonts w:ascii="Times New Roman" w:hAnsi="Times New Roman"/>
                <w:sz w:val="20"/>
              </w:rPr>
              <w:t>Sweden</w:t>
            </w:r>
          </w:p>
        </w:tc>
        <w:tc>
          <w:tcPr>
            <w:tcW w:type="dxa" w:w="1128"/>
          </w:tcPr>
          <w:p>
            <w:r>
              <w:rPr>
                <w:rFonts w:ascii="Times New Roman" w:hAnsi="Times New Roman"/>
                <w:sz w:val="20"/>
              </w:rPr>
              <w:t>2.05</w:t>
            </w:r>
          </w:p>
        </w:tc>
        <w:tc>
          <w:tcPr>
            <w:tcW w:type="dxa" w:w="1128"/>
          </w:tcPr>
          <w:p>
            <w:r>
              <w:rPr>
                <w:rFonts w:ascii="Times New Roman" w:hAnsi="Times New Roman"/>
                <w:sz w:val="20"/>
              </w:rPr>
              <w:t>1.23</w:t>
            </w:r>
          </w:p>
        </w:tc>
        <w:tc>
          <w:tcPr>
            <w:tcW w:type="dxa" w:w="1128"/>
          </w:tcPr>
          <w:p>
            <w:r>
              <w:rPr>
                <w:rFonts w:ascii="Times New Roman" w:hAnsi="Times New Roman"/>
                <w:sz w:val="20"/>
              </w:rPr>
              <w:t>0.43</w:t>
            </w:r>
          </w:p>
        </w:tc>
        <w:tc>
          <w:tcPr>
            <w:tcW w:type="dxa" w:w="1128"/>
          </w:tcPr>
          <w:p>
            <w:r>
              <w:rPr>
                <w:rFonts w:ascii="Times New Roman" w:hAnsi="Times New Roman"/>
                <w:sz w:val="20"/>
              </w:rPr>
              <w:t>0.85</w:t>
            </w:r>
          </w:p>
        </w:tc>
        <w:tc>
          <w:tcPr>
            <w:tcW w:type="dxa" w:w="1128"/>
          </w:tcPr>
          <w:p>
            <w:r>
              <w:rPr>
                <w:rFonts w:ascii="Times New Roman" w:hAnsi="Times New Roman"/>
                <w:sz w:val="20"/>
              </w:rPr>
              <w:t>0.02</w:t>
            </w:r>
          </w:p>
        </w:tc>
        <w:tc>
          <w:tcPr>
            <w:tcW w:type="dxa" w:w="1128"/>
          </w:tcPr>
          <w:p>
            <w:r>
              <w:rPr>
                <w:rFonts w:ascii="Times New Roman" w:hAnsi="Times New Roman"/>
                <w:sz w:val="20"/>
              </w:rPr>
              <w:t>1.04</w:t>
            </w:r>
          </w:p>
        </w:tc>
        <w:tc>
          <w:tcPr>
            <w:tcW w:type="dxa" w:w="1128"/>
          </w:tcPr>
          <w:p>
            <w:r>
              <w:rPr>
                <w:rFonts w:ascii="Times New Roman" w:hAnsi="Times New Roman"/>
                <w:sz w:val="20"/>
              </w:rPr>
              <w:t>0.62</w:t>
            </w:r>
          </w:p>
        </w:tc>
      </w:tr>
      <w:tr>
        <w:tc>
          <w:tcPr>
            <w:tcW w:type="dxa" w:w="1128"/>
          </w:tcPr>
          <w:p>
            <w:r>
              <w:rPr>
                <w:rFonts w:ascii="Times New Roman" w:hAnsi="Times New Roman"/>
                <w:sz w:val="20"/>
              </w:rPr>
              <w:t>Canada</w:t>
            </w:r>
          </w:p>
        </w:tc>
        <w:tc>
          <w:tcPr>
            <w:tcW w:type="dxa" w:w="1128"/>
          </w:tcPr>
          <w:p>
            <w:r>
              <w:rPr>
                <w:rFonts w:ascii="Times New Roman" w:hAnsi="Times New Roman"/>
                <w:sz w:val="20"/>
              </w:rPr>
              <w:t>1.82</w:t>
            </w:r>
          </w:p>
        </w:tc>
        <w:tc>
          <w:tcPr>
            <w:tcW w:type="dxa" w:w="1128"/>
          </w:tcPr>
          <w:p>
            <w:r>
              <w:rPr>
                <w:rFonts w:ascii="Times New Roman" w:hAnsi="Times New Roman"/>
                <w:sz w:val="20"/>
              </w:rPr>
              <w:t>1.09</w:t>
            </w:r>
          </w:p>
        </w:tc>
        <w:tc>
          <w:tcPr>
            <w:tcW w:type="dxa" w:w="1128"/>
          </w:tcPr>
          <w:p>
            <w:r>
              <w:rPr>
                <w:rFonts w:ascii="Times New Roman" w:hAnsi="Times New Roman"/>
                <w:sz w:val="20"/>
              </w:rPr>
              <w:t>0.33</w:t>
            </w:r>
          </w:p>
        </w:tc>
        <w:tc>
          <w:tcPr>
            <w:tcW w:type="dxa" w:w="1128"/>
          </w:tcPr>
          <w:p>
            <w:r>
              <w:rPr>
                <w:rFonts w:ascii="Times New Roman" w:hAnsi="Times New Roman"/>
                <w:sz w:val="20"/>
              </w:rPr>
              <w:t>0.73</w:t>
            </w:r>
          </w:p>
        </w:tc>
        <w:tc>
          <w:tcPr>
            <w:tcW w:type="dxa" w:w="1128"/>
          </w:tcPr>
          <w:p>
            <w:r>
              <w:rPr>
                <w:rFonts w:ascii="Times New Roman" w:hAnsi="Times New Roman"/>
                <w:sz w:val="20"/>
              </w:rPr>
              <w:t>0.15</w:t>
            </w:r>
          </w:p>
        </w:tc>
        <w:tc>
          <w:tcPr>
            <w:tcW w:type="dxa" w:w="1128"/>
          </w:tcPr>
          <w:p>
            <w:r>
              <w:rPr>
                <w:rFonts w:ascii="Times New Roman" w:hAnsi="Times New Roman"/>
                <w:sz w:val="20"/>
              </w:rPr>
              <w:t>0.82</w:t>
            </w:r>
          </w:p>
        </w:tc>
        <w:tc>
          <w:tcPr>
            <w:tcW w:type="dxa" w:w="1128"/>
          </w:tcPr>
          <w:p>
            <w:r>
              <w:rPr>
                <w:rFonts w:ascii="Times New Roman" w:hAnsi="Times New Roman"/>
                <w:sz w:val="20"/>
              </w:rPr>
              <w:t>0.49</w:t>
            </w:r>
          </w:p>
        </w:tc>
      </w:tr>
      <w:tr>
        <w:tc>
          <w:tcPr>
            <w:tcW w:type="dxa" w:w="1128"/>
          </w:tcPr>
          <w:p>
            <w:r>
              <w:rPr>
                <w:rFonts w:ascii="Times New Roman" w:hAnsi="Times New Roman"/>
                <w:sz w:val="20"/>
              </w:rPr>
              <w:t>Australia</w:t>
            </w:r>
          </w:p>
        </w:tc>
        <w:tc>
          <w:tcPr>
            <w:tcW w:type="dxa" w:w="1128"/>
          </w:tcPr>
          <w:p>
            <w:r>
              <w:rPr>
                <w:rFonts w:ascii="Times New Roman" w:hAnsi="Times New Roman"/>
                <w:sz w:val="20"/>
              </w:rPr>
              <w:t>1.85</w:t>
            </w:r>
          </w:p>
        </w:tc>
        <w:tc>
          <w:tcPr>
            <w:tcW w:type="dxa" w:w="1128"/>
          </w:tcPr>
          <w:p>
            <w:r>
              <w:rPr>
                <w:rFonts w:ascii="Times New Roman" w:hAnsi="Times New Roman"/>
                <w:sz w:val="20"/>
              </w:rPr>
              <w:t>1.11</w:t>
            </w:r>
          </w:p>
        </w:tc>
        <w:tc>
          <w:tcPr>
            <w:tcW w:type="dxa" w:w="1128"/>
          </w:tcPr>
          <w:p>
            <w:r>
              <w:rPr>
                <w:rFonts w:ascii="Times New Roman" w:hAnsi="Times New Roman"/>
                <w:sz w:val="20"/>
              </w:rPr>
              <w:t>0.28</w:t>
            </w:r>
          </w:p>
        </w:tc>
        <w:tc>
          <w:tcPr>
            <w:tcW w:type="dxa" w:w="1128"/>
          </w:tcPr>
          <w:p>
            <w:r>
              <w:rPr>
                <w:rFonts w:ascii="Times New Roman" w:hAnsi="Times New Roman"/>
                <w:sz w:val="20"/>
              </w:rPr>
              <w:t>0.68</w:t>
            </w:r>
          </w:p>
        </w:tc>
        <w:tc>
          <w:tcPr>
            <w:tcW w:type="dxa" w:w="1128"/>
          </w:tcPr>
          <w:p>
            <w:r>
              <w:rPr>
                <w:rFonts w:ascii="Times New Roman" w:hAnsi="Times New Roman"/>
                <w:sz w:val="20"/>
              </w:rPr>
              <w:t>0.18</w:t>
            </w:r>
          </w:p>
        </w:tc>
        <w:tc>
          <w:tcPr>
            <w:tcW w:type="dxa" w:w="1128"/>
          </w:tcPr>
          <w:p>
            <w:r>
              <w:rPr>
                <w:rFonts w:ascii="Times New Roman" w:hAnsi="Times New Roman"/>
                <w:sz w:val="20"/>
              </w:rPr>
              <w:t>0.76</w:t>
            </w:r>
          </w:p>
        </w:tc>
        <w:tc>
          <w:tcPr>
            <w:tcW w:type="dxa" w:w="1128"/>
          </w:tcPr>
          <w:p>
            <w:r>
              <w:rPr>
                <w:rFonts w:ascii="Times New Roman" w:hAnsi="Times New Roman"/>
                <w:sz w:val="20"/>
              </w:rPr>
              <w:t>0.46</w:t>
            </w:r>
          </w:p>
        </w:tc>
      </w:tr>
      <w:tr>
        <w:tc>
          <w:tcPr>
            <w:tcW w:type="dxa" w:w="1128"/>
          </w:tcPr>
          <w:p>
            <w:r>
              <w:rPr>
                <w:rFonts w:ascii="Times New Roman" w:hAnsi="Times New Roman"/>
                <w:sz w:val="20"/>
              </w:rPr>
              <w:t>Korea</w:t>
            </w:r>
          </w:p>
        </w:tc>
        <w:tc>
          <w:tcPr>
            <w:tcW w:type="dxa" w:w="1128"/>
          </w:tcPr>
          <w:p>
            <w:r>
              <w:rPr>
                <w:rFonts w:ascii="Times New Roman" w:hAnsi="Times New Roman"/>
                <w:sz w:val="20"/>
              </w:rPr>
              <w:t>1.95</w:t>
            </w:r>
          </w:p>
        </w:tc>
        <w:tc>
          <w:tcPr>
            <w:tcW w:type="dxa" w:w="1128"/>
          </w:tcPr>
          <w:p>
            <w:r>
              <w:rPr>
                <w:rFonts w:ascii="Times New Roman" w:hAnsi="Times New Roman"/>
                <w:sz w:val="20"/>
              </w:rPr>
              <w:t>1.17</w:t>
            </w:r>
          </w:p>
        </w:tc>
        <w:tc>
          <w:tcPr>
            <w:tcW w:type="dxa" w:w="1128"/>
          </w:tcPr>
          <w:p>
            <w:r>
              <w:rPr>
                <w:rFonts w:ascii="Times New Roman" w:hAnsi="Times New Roman"/>
                <w:sz w:val="20"/>
              </w:rPr>
              <w:t>0.27</w:t>
            </w:r>
          </w:p>
        </w:tc>
        <w:tc>
          <w:tcPr>
            <w:tcW w:type="dxa" w:w="1128"/>
          </w:tcPr>
          <w:p>
            <w:r>
              <w:rPr>
                <w:rFonts w:ascii="Times New Roman" w:hAnsi="Times New Roman"/>
                <w:sz w:val="20"/>
              </w:rPr>
              <w:t>0.61</w:t>
            </w:r>
          </w:p>
        </w:tc>
        <w:tc>
          <w:tcPr>
            <w:tcW w:type="dxa" w:w="1128"/>
          </w:tcPr>
          <w:p>
            <w:r>
              <w:rPr>
                <w:rFonts w:ascii="Times New Roman" w:hAnsi="Times New Roman"/>
                <w:sz w:val="20"/>
              </w:rPr>
              <w:t>0.1</w:t>
            </w:r>
          </w:p>
        </w:tc>
        <w:tc>
          <w:tcPr>
            <w:tcW w:type="dxa" w:w="1128"/>
          </w:tcPr>
          <w:p>
            <w:r>
              <w:rPr>
                <w:rFonts w:ascii="Times New Roman" w:hAnsi="Times New Roman"/>
                <w:sz w:val="20"/>
              </w:rPr>
              <w:t>0.86</w:t>
            </w:r>
          </w:p>
        </w:tc>
        <w:tc>
          <w:tcPr>
            <w:tcW w:type="dxa" w:w="1128"/>
          </w:tcPr>
          <w:p>
            <w:r>
              <w:rPr>
                <w:rFonts w:ascii="Times New Roman" w:hAnsi="Times New Roman"/>
                <w:sz w:val="20"/>
              </w:rPr>
              <w:t>0.52</w:t>
            </w:r>
          </w:p>
        </w:tc>
      </w:tr>
      <w:tr>
        <w:tc>
          <w:tcPr>
            <w:tcW w:type="dxa" w:w="1128"/>
          </w:tcPr>
          <w:p>
            <w:r>
              <w:rPr>
                <w:rFonts w:ascii="Times New Roman" w:hAnsi="Times New Roman"/>
                <w:sz w:val="20"/>
              </w:rPr>
              <w:t>Italy</w:t>
            </w:r>
          </w:p>
        </w:tc>
        <w:tc>
          <w:tcPr>
            <w:tcW w:type="dxa" w:w="1128"/>
          </w:tcPr>
          <w:p>
            <w:r>
              <w:rPr>
                <w:rFonts w:ascii="Times New Roman" w:hAnsi="Times New Roman"/>
                <w:sz w:val="20"/>
              </w:rPr>
              <w:t>1.95</w:t>
            </w:r>
          </w:p>
        </w:tc>
        <w:tc>
          <w:tcPr>
            <w:tcW w:type="dxa" w:w="1128"/>
          </w:tcPr>
          <w:p>
            <w:r>
              <w:rPr>
                <w:rFonts w:ascii="Times New Roman" w:hAnsi="Times New Roman"/>
                <w:sz w:val="20"/>
              </w:rPr>
              <w:t>1.17</w:t>
            </w:r>
          </w:p>
        </w:tc>
        <w:tc>
          <w:tcPr>
            <w:tcW w:type="dxa" w:w="1128"/>
          </w:tcPr>
          <w:p>
            <w:r>
              <w:rPr>
                <w:rFonts w:ascii="Times New Roman" w:hAnsi="Times New Roman"/>
                <w:sz w:val="20"/>
              </w:rPr>
              <w:t>0.43</w:t>
            </w:r>
          </w:p>
        </w:tc>
        <w:tc>
          <w:tcPr>
            <w:tcW w:type="dxa" w:w="1128"/>
          </w:tcPr>
          <w:p>
            <w:r>
              <w:rPr>
                <w:rFonts w:ascii="Times New Roman" w:hAnsi="Times New Roman"/>
                <w:sz w:val="20"/>
              </w:rPr>
              <w:t>0.74</w:t>
            </w:r>
          </w:p>
        </w:tc>
        <w:tc>
          <w:tcPr>
            <w:tcW w:type="dxa" w:w="1128"/>
          </w:tcPr>
          <w:p>
            <w:r>
              <w:rPr>
                <w:rFonts w:ascii="Times New Roman" w:hAnsi="Times New Roman"/>
                <w:sz w:val="20"/>
              </w:rPr>
              <w:t>0.08</w:t>
            </w:r>
          </w:p>
        </w:tc>
        <w:tc>
          <w:tcPr>
            <w:tcW w:type="dxa" w:w="1128"/>
          </w:tcPr>
          <w:p>
            <w:r>
              <w:rPr>
                <w:rFonts w:ascii="Times New Roman" w:hAnsi="Times New Roman"/>
                <w:sz w:val="20"/>
              </w:rPr>
              <w:t>1.13</w:t>
            </w:r>
          </w:p>
        </w:tc>
        <w:tc>
          <w:tcPr>
            <w:tcW w:type="dxa" w:w="1128"/>
          </w:tcPr>
          <w:p>
            <w:r>
              <w:rPr>
                <w:rFonts w:ascii="Times New Roman" w:hAnsi="Times New Roman"/>
                <w:sz w:val="20"/>
              </w:rPr>
              <w:t>0.68</w:t>
            </w:r>
          </w:p>
        </w:tc>
      </w:tr>
      <w:tr>
        <w:tc>
          <w:tcPr>
            <w:tcW w:type="dxa" w:w="1128"/>
          </w:tcPr>
          <w:p>
            <w:r>
              <w:rPr>
                <w:rFonts w:ascii="Times New Roman" w:hAnsi="Times New Roman"/>
                <w:sz w:val="20"/>
              </w:rPr>
              <w:t>Spain</w:t>
            </w:r>
          </w:p>
        </w:tc>
        <w:tc>
          <w:tcPr>
            <w:tcW w:type="dxa" w:w="1128"/>
          </w:tcPr>
          <w:p>
            <w:r>
              <w:rPr>
                <w:rFonts w:ascii="Times New Roman" w:hAnsi="Times New Roman"/>
                <w:sz w:val="20"/>
              </w:rPr>
              <w:t>1.85</w:t>
            </w:r>
          </w:p>
        </w:tc>
        <w:tc>
          <w:tcPr>
            <w:tcW w:type="dxa" w:w="1128"/>
          </w:tcPr>
          <w:p>
            <w:r>
              <w:rPr>
                <w:rFonts w:ascii="Times New Roman" w:hAnsi="Times New Roman"/>
                <w:sz w:val="20"/>
              </w:rPr>
              <w:t>1.11</w:t>
            </w:r>
          </w:p>
        </w:tc>
        <w:tc>
          <w:tcPr>
            <w:tcW w:type="dxa" w:w="1128"/>
          </w:tcPr>
          <w:p>
            <w:r>
              <w:rPr>
                <w:rFonts w:ascii="Times New Roman" w:hAnsi="Times New Roman"/>
                <w:sz w:val="20"/>
              </w:rPr>
              <w:t>0.35</w:t>
            </w:r>
          </w:p>
        </w:tc>
        <w:tc>
          <w:tcPr>
            <w:tcW w:type="dxa" w:w="1128"/>
          </w:tcPr>
          <w:p>
            <w:r>
              <w:rPr>
                <w:rFonts w:ascii="Times New Roman" w:hAnsi="Times New Roman"/>
                <w:sz w:val="20"/>
              </w:rPr>
              <w:t>0.71</w:t>
            </w:r>
          </w:p>
        </w:tc>
        <w:tc>
          <w:tcPr>
            <w:tcW w:type="dxa" w:w="1128"/>
          </w:tcPr>
          <w:p>
            <w:r>
              <w:rPr>
                <w:rFonts w:ascii="Times New Roman" w:hAnsi="Times New Roman"/>
                <w:sz w:val="20"/>
              </w:rPr>
              <w:t>0.12</w:t>
            </w:r>
          </w:p>
        </w:tc>
        <w:tc>
          <w:tcPr>
            <w:tcW w:type="dxa" w:w="1128"/>
          </w:tcPr>
          <w:p>
            <w:r>
              <w:rPr>
                <w:rFonts w:ascii="Times New Roman" w:hAnsi="Times New Roman"/>
                <w:sz w:val="20"/>
              </w:rPr>
              <w:t>0.91</w:t>
            </w:r>
          </w:p>
        </w:tc>
        <w:tc>
          <w:tcPr>
            <w:tcW w:type="dxa" w:w="1128"/>
          </w:tcPr>
          <w:p>
            <w:r>
              <w:rPr>
                <w:rFonts w:ascii="Times New Roman" w:hAnsi="Times New Roman"/>
                <w:sz w:val="20"/>
              </w:rPr>
              <w:t>0.55</w:t>
            </w:r>
          </w:p>
        </w:tc>
      </w:tr>
      <w:tr>
        <w:tc>
          <w:tcPr>
            <w:tcW w:type="dxa" w:w="1128"/>
          </w:tcPr>
          <w:p>
            <w:r>
              <w:rPr>
                <w:rFonts w:ascii="Times New Roman" w:hAnsi="Times New Roman"/>
                <w:sz w:val="20"/>
              </w:rPr>
              <w:t>Netherlands</w:t>
            </w:r>
          </w:p>
        </w:tc>
        <w:tc>
          <w:tcPr>
            <w:tcW w:type="dxa" w:w="1128"/>
          </w:tcPr>
          <w:p>
            <w:r>
              <w:rPr>
                <w:rFonts w:ascii="Times New Roman" w:hAnsi="Times New Roman"/>
                <w:sz w:val="20"/>
              </w:rPr>
              <w:t>2.0</w:t>
            </w:r>
          </w:p>
        </w:tc>
        <w:tc>
          <w:tcPr>
            <w:tcW w:type="dxa" w:w="1128"/>
          </w:tcPr>
          <w:p>
            <w:r>
              <w:rPr>
                <w:rFonts w:ascii="Times New Roman" w:hAnsi="Times New Roman"/>
                <w:sz w:val="20"/>
              </w:rPr>
              <w:t>1.2</w:t>
            </w:r>
          </w:p>
        </w:tc>
        <w:tc>
          <w:tcPr>
            <w:tcW w:type="dxa" w:w="1128"/>
          </w:tcPr>
          <w:p>
            <w:r>
              <w:rPr>
                <w:rFonts w:ascii="Times New Roman" w:hAnsi="Times New Roman"/>
                <w:sz w:val="20"/>
              </w:rPr>
              <w:t>0.39</w:t>
            </w:r>
          </w:p>
        </w:tc>
        <w:tc>
          <w:tcPr>
            <w:tcW w:type="dxa" w:w="1128"/>
          </w:tcPr>
          <w:p>
            <w:r>
              <w:rPr>
                <w:rFonts w:ascii="Times New Roman" w:hAnsi="Times New Roman"/>
                <w:sz w:val="20"/>
              </w:rPr>
              <w:t>0.82</w:t>
            </w:r>
          </w:p>
        </w:tc>
        <w:tc>
          <w:tcPr>
            <w:tcW w:type="dxa" w:w="1128"/>
          </w:tcPr>
          <w:p>
            <w:r>
              <w:rPr>
                <w:rFonts w:ascii="Times New Roman" w:hAnsi="Times New Roman"/>
                <w:sz w:val="20"/>
              </w:rPr>
              <w:t>0.03</w:t>
            </w:r>
          </w:p>
        </w:tc>
        <w:tc>
          <w:tcPr>
            <w:tcW w:type="dxa" w:w="1128"/>
          </w:tcPr>
          <w:p>
            <w:r>
              <w:rPr>
                <w:rFonts w:ascii="Times New Roman" w:hAnsi="Times New Roman"/>
                <w:sz w:val="20"/>
              </w:rPr>
              <w:t>0.95</w:t>
            </w:r>
          </w:p>
        </w:tc>
        <w:tc>
          <w:tcPr>
            <w:tcW w:type="dxa" w:w="1128"/>
          </w:tcPr>
          <w:p>
            <w:r>
              <w:rPr>
                <w:rFonts w:ascii="Times New Roman" w:hAnsi="Times New Roman"/>
                <w:sz w:val="20"/>
              </w:rPr>
              <w:t>0.57</w:t>
            </w:r>
          </w:p>
        </w:tc>
      </w:tr>
      <w:tr>
        <w:tc>
          <w:tcPr>
            <w:tcW w:type="dxa" w:w="1128"/>
          </w:tcPr>
          <w:p>
            <w:r>
              <w:rPr>
                <w:rFonts w:ascii="Times New Roman" w:hAnsi="Times New Roman"/>
                <w:sz w:val="20"/>
              </w:rPr>
              <w:t>Finland</w:t>
            </w:r>
          </w:p>
        </w:tc>
        <w:tc>
          <w:tcPr>
            <w:tcW w:type="dxa" w:w="1128"/>
          </w:tcPr>
          <w:p>
            <w:r>
              <w:rPr>
                <w:rFonts w:ascii="Times New Roman" w:hAnsi="Times New Roman"/>
                <w:sz w:val="20"/>
              </w:rPr>
              <w:t>1.88</w:t>
            </w:r>
          </w:p>
        </w:tc>
        <w:tc>
          <w:tcPr>
            <w:tcW w:type="dxa" w:w="1128"/>
          </w:tcPr>
          <w:p>
            <w:r>
              <w:rPr>
                <w:rFonts w:ascii="Times New Roman" w:hAnsi="Times New Roman"/>
                <w:sz w:val="20"/>
              </w:rPr>
              <w:t>1.13</w:t>
            </w:r>
          </w:p>
        </w:tc>
        <w:tc>
          <w:tcPr>
            <w:tcW w:type="dxa" w:w="1128"/>
          </w:tcPr>
          <w:p>
            <w:r>
              <w:rPr>
                <w:rFonts w:ascii="Times New Roman" w:hAnsi="Times New Roman"/>
                <w:sz w:val="20"/>
              </w:rPr>
              <w:t>0.43</w:t>
            </w:r>
          </w:p>
        </w:tc>
        <w:tc>
          <w:tcPr>
            <w:tcW w:type="dxa" w:w="1128"/>
          </w:tcPr>
          <w:p>
            <w:r>
              <w:rPr>
                <w:rFonts w:ascii="Times New Roman" w:hAnsi="Times New Roman"/>
                <w:sz w:val="20"/>
              </w:rPr>
              <w:t>0.78</w:t>
            </w:r>
          </w:p>
        </w:tc>
        <w:tc>
          <w:tcPr>
            <w:tcW w:type="dxa" w:w="1128"/>
          </w:tcPr>
          <w:p>
            <w:r>
              <w:rPr>
                <w:rFonts w:ascii="Times New Roman" w:hAnsi="Times New Roman"/>
                <w:sz w:val="20"/>
              </w:rPr>
              <w:t>0.05</w:t>
            </w:r>
          </w:p>
        </w:tc>
        <w:tc>
          <w:tcPr>
            <w:tcW w:type="dxa" w:w="1128"/>
          </w:tcPr>
          <w:p>
            <w:r>
              <w:rPr>
                <w:rFonts w:ascii="Times New Roman" w:hAnsi="Times New Roman"/>
                <w:sz w:val="20"/>
              </w:rPr>
              <w:t>1.04</w:t>
            </w:r>
          </w:p>
        </w:tc>
        <w:tc>
          <w:tcPr>
            <w:tcW w:type="dxa" w:w="1128"/>
          </w:tcPr>
          <w:p>
            <w:r>
              <w:rPr>
                <w:rFonts w:ascii="Times New Roman" w:hAnsi="Times New Roman"/>
                <w:sz w:val="20"/>
              </w:rPr>
              <w:t>0.62</w:t>
            </w:r>
          </w:p>
        </w:tc>
      </w:tr>
    </w:tbl>
    <w:p>
      <w:r>
        <w:rPr>
          <w:i/>
          <w:sz w:val="20"/>
        </w:rPr>
        <w:t>FR = (τ × m) / pf. Output Mult. = total output multiplier (upper bound). VA Mult. = approximate value-added multiplier (lower bound). Deficit Share = fraction of public HE funded by deficit spending.</w:t>
      </w:r>
    </w:p>
    <w:p/>
    <w:p>
      <w:pPr>
        <w:pStyle w:val="Heading2"/>
      </w:pPr>
      <w:r>
        <w:t>Tempo model performance</w:t>
      </w:r>
    </w:p>
    <w:p>
      <w:r>
        <w:t>Table 3 summarizes the tempo model comparison with all model selection criteria. The introduction of a spending-to-outcome lag (M1 vs M0) produced a substantial and robust improvement across all criteria: level RMSE improved from 0.510 to 0.441, LOOCV RMSE from 0.538 to 0.472, and both AIC and BIC favored M1 over M0. This confirms that a meaningful lag exists between healthcare spending and health outcomes.</w:t>
      </w:r>
    </w:p>
    <w:p>
      <w:r>
        <w:t>The time-varying extension (M2 vs M1) showed a marginal improvement in level RMSE (0.434 vs 0.441, a difference of 0.007 years ≈ 2.5 days) and LOOCV RMSE (0.469 vs 0.472). However, M2 adds two parameters relative to M1. Under BIC, which penalizes complexity more heavily, M2 was preferred in only 41% of countries (median BIC: -8.2 vs M1's -10.4). Under AIC, M2 was preferred in 62% of countries (median AIC: -13.1 vs M1's -13.6). On change RMSE, the ranking reversed (M1 = 0.403 vs M2 = 0.405). The tempo drift μ_H1 = +0.15 yr/yr (SE = 0.04) is therefore statistically distinguishable from zero but its practical significance is uncertain. We interpret the tempo drift as suggestive evidence that the spending-to-outcome pipeline is lengthening, rather than a firmly established finding</w:t>
      </w:r>
      <w:r>
        <w:rPr>
          <w:sz w:val="20"/>
          <w:vertAlign w:val="superscript"/>
        </w:rPr>
        <w:t>23</w:t>
      </w:r>
      <w:r>
        <w:t>. Figure 4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2</w:t>
            </w:r>
          </w:p>
        </w:tc>
        <w:tc>
          <w:tcPr>
            <w:tcW w:type="dxa" w:w="1289"/>
          </w:tcPr>
          <w:p>
            <w:r>
              <w:rPr>
                <w:rFonts w:ascii="Times New Roman" w:hAnsi="Times New Roman"/>
                <w:sz w:val="20"/>
              </w:rPr>
              <w:t>0.510</w:t>
            </w:r>
          </w:p>
        </w:tc>
        <w:tc>
          <w:tcPr>
            <w:tcW w:type="dxa" w:w="1289"/>
          </w:tcPr>
          <w:p>
            <w:r>
              <w:rPr>
                <w:rFonts w:ascii="Times New Roman" w:hAnsi="Times New Roman"/>
                <w:sz w:val="20"/>
              </w:rPr>
              <w:t>0.455</w:t>
            </w:r>
          </w:p>
        </w:tc>
        <w:tc>
          <w:tcPr>
            <w:tcW w:type="dxa" w:w="1289"/>
          </w:tcPr>
          <w:p>
            <w:r>
              <w:rPr>
                <w:rFonts w:ascii="Times New Roman" w:hAnsi="Times New Roman"/>
                <w:sz w:val="20"/>
              </w:rPr>
              <w:t>0.538</w:t>
            </w:r>
          </w:p>
        </w:tc>
        <w:tc>
          <w:tcPr>
            <w:tcW w:type="dxa" w:w="1289"/>
          </w:tcPr>
          <w:p>
            <w:r>
              <w:rPr>
                <w:rFonts w:ascii="Times New Roman" w:hAnsi="Times New Roman"/>
                <w:sz w:val="20"/>
              </w:rPr>
              <w:t>-8.2</w:t>
            </w:r>
          </w:p>
        </w:tc>
        <w:tc>
          <w:tcPr>
            <w:tcW w:type="dxa" w:w="1289"/>
          </w:tcPr>
          <w:p>
            <w:r>
              <w:rPr>
                <w:rFonts w:ascii="Times New Roman" w:hAnsi="Times New Roman"/>
                <w:sz w:val="20"/>
              </w:rPr>
              <w:t>-5.9</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3</w:t>
            </w:r>
          </w:p>
        </w:tc>
        <w:tc>
          <w:tcPr>
            <w:tcW w:type="dxa" w:w="1289"/>
          </w:tcPr>
          <w:p>
            <w:r>
              <w:rPr>
                <w:rFonts w:ascii="Times New Roman" w:hAnsi="Times New Roman"/>
                <w:sz w:val="20"/>
              </w:rPr>
              <w:t>0.441</w:t>
            </w:r>
          </w:p>
        </w:tc>
        <w:tc>
          <w:tcPr>
            <w:tcW w:type="dxa" w:w="1289"/>
          </w:tcPr>
          <w:p>
            <w:r>
              <w:rPr>
                <w:rFonts w:ascii="Times New Roman" w:hAnsi="Times New Roman"/>
                <w:sz w:val="20"/>
              </w:rPr>
              <w:t>0.403</w:t>
            </w:r>
          </w:p>
        </w:tc>
        <w:tc>
          <w:tcPr>
            <w:tcW w:type="dxa" w:w="1289"/>
          </w:tcPr>
          <w:p>
            <w:r>
              <w:rPr>
                <w:rFonts w:ascii="Times New Roman" w:hAnsi="Times New Roman"/>
                <w:sz w:val="20"/>
              </w:rPr>
              <w:t>0.472</w:t>
            </w:r>
          </w:p>
        </w:tc>
        <w:tc>
          <w:tcPr>
            <w:tcW w:type="dxa" w:w="1289"/>
          </w:tcPr>
          <w:p>
            <w:r>
              <w:rPr>
                <w:rFonts w:ascii="Times New Roman" w:hAnsi="Times New Roman"/>
                <w:sz w:val="20"/>
              </w:rPr>
              <w:t>-13.6</w:t>
            </w:r>
          </w:p>
        </w:tc>
        <w:tc>
          <w:tcPr>
            <w:tcW w:type="dxa" w:w="1289"/>
          </w:tcPr>
          <w:p>
            <w:r>
              <w:rPr>
                <w:rFonts w:ascii="Times New Roman" w:hAnsi="Times New Roman"/>
                <w:sz w:val="20"/>
              </w:rPr>
              <w:t>-10.4</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0.434</w:t>
            </w:r>
          </w:p>
        </w:tc>
        <w:tc>
          <w:tcPr>
            <w:tcW w:type="dxa" w:w="1289"/>
          </w:tcPr>
          <w:p>
            <w:r>
              <w:rPr>
                <w:rFonts w:ascii="Times New Roman" w:hAnsi="Times New Roman"/>
                <w:sz w:val="20"/>
              </w:rPr>
              <w:t>0.405</w:t>
            </w:r>
          </w:p>
        </w:tc>
        <w:tc>
          <w:tcPr>
            <w:tcW w:type="dxa" w:w="1289"/>
          </w:tcPr>
          <w:p>
            <w:r>
              <w:rPr>
                <w:rFonts w:ascii="Times New Roman" w:hAnsi="Times New Roman"/>
                <w:sz w:val="20"/>
              </w:rPr>
              <w:t>0.469</w:t>
            </w:r>
          </w:p>
        </w:tc>
        <w:tc>
          <w:tcPr>
            <w:tcW w:type="dxa" w:w="1289"/>
          </w:tcPr>
          <w:p>
            <w:r>
              <w:rPr>
                <w:rFonts w:ascii="Times New Roman" w:hAnsi="Times New Roman"/>
                <w:sz w:val="20"/>
              </w:rPr>
              <w:t>-13.1</w:t>
            </w:r>
          </w:p>
        </w:tc>
        <w:tc>
          <w:tcPr>
            <w:tcW w:type="dxa" w:w="1289"/>
          </w:tcPr>
          <w:p>
            <w:r>
              <w:rPr>
                <w:rFonts w:ascii="Times New Roman" w:hAnsi="Times New Roman"/>
                <w:sz w:val="20"/>
              </w:rPr>
              <w:t>-8.2</w:t>
            </w:r>
          </w:p>
        </w:tc>
      </w:tr>
    </w:tbl>
    <w:p>
      <w:r>
        <w:rPr>
          <w:i/>
          <w:sz w:val="20"/>
        </w:rPr>
        <w:t>RMSE in years. LOOCV = leave-one-out cross-validation. AIC/BIC: lower is better. M1 substantially outperforms M0 on all criteria. M2 shows marginal improvement over M1 in level RMSE but not in change RMSE or BIC.</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5).</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24</w:t>
      </w:r>
      <w:r>
        <w:t xml:space="preserve"> (Figure 6).</w:t>
      </w:r>
    </w:p>
    <w:p>
      <w:pPr>
        <w:pStyle w:val="Heading2"/>
      </w:pPr>
      <w:r>
        <w:t>Import leakage and effective multipliers</w:t>
      </w:r>
    </w:p>
    <w:p>
      <w:r>
        <w:t>For Japan, the nominal output multiplier of 2.78 was reduced to 2.64 after adjusting for 5.0% import leakage, and the fiscal return ratio fell from 1.09 to 1.04 (Figure 7).</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8).</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9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proposed a dual-return framework to evaluate the sustainability of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establishing that healthcare expenditure operates through a stock-building mechanism with a median lag of approximately 4 years. However, the time-varying drift in this lag (M2 vs M1) showed only marginal improvement that did not survive BIC penalization. We therefore characterize the tempo drift of +0.15 yr/yr as suggestive rather than definitive.</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30</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30</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26</w:t>
      </w:r>
      <w:r>
        <w:t>, yet Japanese patients enjoy the fastest access to specialist care globally. With the enforcement of work-style reform legislation capping physician overtime</w:t>
      </w:r>
      <w:r>
        <w:rPr>
          <w:sz w:val="20"/>
          <w:vertAlign w:val="superscript"/>
        </w:rPr>
        <w:t>27</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26</w:t>
      </w:r>
      <w:r>
        <w:t>.</w:t>
      </w:r>
    </w:p>
    <w:p>
      <w:pPr>
        <w:pStyle w:val="Heading2"/>
      </w:pPr>
      <w:r>
        <w:t>Additional limitations</w:t>
      </w:r>
    </w:p>
    <w:p>
      <w:r>
        <w:t>Several further limitations should be noted. First, I-O multipliers are static models that do not account for price adjustments, supply constraints, or general equilibrium effects. Second, the effective tax rate parameter may not fully capture the complexity of national tax systems. Third, import leakage was calculated using aggregate HS trade data and does not capture re-exports or domestic value-added content of imports. Fourth, the counterfactual scenarios are static partial-equilibrium models. Fifth, the tempo model integration relies on a companion analysis whose time-varying component (M2) does not robustly survive parsimony-aware model selection. Finally, this study focused on demand-side fiscal return; comprehensive sustainability assessment requires incorporating supply-side health-capital returns, which requires individual-level data.</w:t>
      </w:r>
    </w:p>
    <w:p>
      <w:pPr>
        <w:pStyle w:val="Heading1"/>
      </w:pPr>
      <w:r>
        <w:t>Conclusions</w:t>
      </w:r>
    </w:p>
    <w:p>
      <w:r>
        <w:t>Japan's healthcare expenditure generates substantial demand-side economic returns via I-O multiplier effects, with an output-based fiscal return ratio of 1.09. However, whether these returns fully cover public healthcare costs depends on methodological choices: using value-added multipliers reduces the ratio below 1.0, and accounting for deficit financing further complicates the picture.</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However, the evidence for a time-varying drift in this lag is suggestive rather than definitive under parsimony-aware model selection.</w:t>
      </w:r>
    </w:p>
    <w:p>
      <w:r>
        <w:t>We conclude that healthcare expenditure should be evaluated through both cost and economic-return lenses, but that the framework presented here provides indicative ranges rather than definitive sustainability determinations. The policy debate should integrate economic return analysis alongside assessments of over-supply risk, workforce sustainability, deficit financing, and the age-specific structure of healthcare spending.</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Analysis code and data are available at: https://github.com/bougtoir/healthcare-economic-effect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Onishi T. The forgotten tempo effect in capital accounting: investment-to-output time-to-build, intangible capital, and the reconciliation of flow- and stock-based national wealth measures. Working Paper. 2026. Available from: https://github.com/bougtoir/gdp-tempo-paper</w:t>
      </w:r>
    </w:p>
    <w:p>
      <w:r>
        <w:rPr>
          <w:b/>
        </w:rPr>
        <w:t xml:space="preserve">23. </w:t>
      </w:r>
      <w:r>
        <w:t>Onishi T. Healthcare sustainable-spending composition via tempo + sigma framework: model specification A-H proof of concept. Working Paper. 2026. Available from: https://github.com/bougtoir/healthcare-sustainable</w:t>
      </w:r>
    </w:p>
    <w:p>
      <w:r>
        <w:rPr>
          <w:b/>
        </w:rPr>
        <w:t xml:space="preserve">24. </w:t>
      </w:r>
      <w:r>
        <w:t>OECD. Health at a Glance 2023: OECD Indicators. Chapter 5.23: Diagnostic technologies. Paris: OECD Publishing; 2023.</w:t>
      </w:r>
    </w:p>
    <w:p>
      <w:r>
        <w:rPr>
          <w:b/>
        </w:rPr>
        <w:t xml:space="preserve">25. </w:t>
      </w:r>
      <w:r>
        <w:t>Ministry of Health, Labour and Welfare. Pharmaceutical and medical device production statistics annual report. Tokyo: MHLW; 2021. [In Japanese]</w:t>
      </w:r>
    </w:p>
    <w:p>
      <w:r>
        <w:rPr>
          <w:b/>
        </w:rPr>
        <w:t xml:space="preserve">26. </w:t>
      </w:r>
      <w:r>
        <w:t>OECD. Health at a Glance 2023: OECD Indicators. Chapter 8.1: Health workforce. Paris: OECD Publishing; 2023.</w:t>
      </w:r>
    </w:p>
    <w:p>
      <w:r>
        <w:rPr>
          <w:b/>
        </w:rPr>
        <w:t xml:space="preserve">27. </w:t>
      </w:r>
      <w:r>
        <w:t>Koike S, Wada H, Ohde S, Ide H, Taneda K, Tanigawa T. Working hours of full-time hospital physicians in Japan: a cross-sectional nationwide survey. BMC Public Health. 2024;24:164.</w:t>
      </w:r>
    </w:p>
    <w:p>
      <w:r>
        <w:rPr>
          <w:b/>
        </w:rPr>
        <w:t xml:space="preserve">28. </w:t>
      </w:r>
      <w:r>
        <w:t>World Bank. World Development Indicators. Washington, DC: World Bank; 2024. Available from: https://databank.worldbank.org/</w:t>
      </w:r>
    </w:p>
    <w:p>
      <w:r>
        <w:rPr>
          <w:b/>
        </w:rPr>
        <w:t xml:space="preserve">29. </w:t>
      </w:r>
      <w:r>
        <w:t>Preston SH. The changing relation between mortality and level of economic development. Popul Stud. 1975;29(2):231-248.</w:t>
      </w:r>
    </w:p>
    <w:p>
      <w:r>
        <w:rPr>
          <w:b/>
        </w:rPr>
        <w:t xml:space="preserve">30.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Dual-return framework schematic.</w:t>
      </w:r>
    </w:p>
    <w:p/>
    <w:p>
      <w:r>
        <w:t>Conceptual diagram of the dual-return framework. Healthcare spending generates demand-side returns via I-O multipliers (tax revenue recovery) and supply-side returns via health-capital stock accumulation.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Three-layer tempo analogy.</w:t>
      </w:r>
    </w:p>
    <w:p/>
    <w:p>
      <w:r>
        <w:t>Comparison of tempo drift across three domains. Healthcare exhibits the largest drift (+0.15 yr/yr), though M2 vs M1 improvement does not survive BIC penalization.</w:t>
      </w:r>
    </w:p>
    <w:p/>
    <w:p>
      <w:r>
        <w:rPr>
          <w:b/>
        </w:rPr>
        <w:t xml:space="preserve">Figure 5.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6. </w:t>
      </w:r>
      <w:r>
        <w:rPr>
          <w:b/>
        </w:rPr>
        <w:t>Diagnostic imaging equipment density.</w:t>
      </w:r>
    </w:p>
    <w:p/>
    <w:p>
      <w:r>
        <w:t>Combined CT and MRI scanners per million population. Japan (170.9) is approximately four times the OECD median (46).</w:t>
      </w:r>
    </w:p>
    <w:p/>
    <w:p>
      <w:r>
        <w:rPr>
          <w:b/>
        </w:rPr>
        <w:t xml:space="preserve">Figure 7. </w:t>
      </w:r>
      <w:r>
        <w:rPr>
          <w:b/>
        </w:rPr>
        <w:t>Import leakage vs effective I-O multiplier.</w:t>
      </w:r>
    </w:p>
    <w:p/>
    <w:p>
      <w:r>
        <w:t>Medical import leakage vs effective multiplier. Red arrow for Japan shows leakage adjustment (2.78 to 2.64).</w:t>
      </w:r>
    </w:p>
    <w:p/>
    <w:p>
      <w:r>
        <w:rPr>
          <w:b/>
        </w:rPr>
        <w:t xml:space="preserve">Figure 8. </w:t>
      </w:r>
      <w:r>
        <w:rPr>
          <w:b/>
        </w:rPr>
        <w:t>Japan counterfactual sustainability.</w:t>
      </w:r>
    </w:p>
    <w:p/>
    <w:p>
      <w:r>
        <w:t>Fiscal return ratios under counterfactual scenarios. Baseline 1.04, A: OECD-average equipment 0.98, B: domestic manufacturing 1.09, C: both 1.03.</w:t>
      </w:r>
    </w:p>
    <w:p/>
    <w:p>
      <w:r>
        <w:rPr>
          <w:b/>
        </w:rPr>
        <w:t xml:space="preserve">Figure 9.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033027"/>
            <wp:docPr id="4" name="Picture 4"/>
            <wp:cNvGraphicFramePr>
              <a:graphicFrameLocks noChangeAspect="1"/>
            </wp:cNvGraphicFramePr>
            <a:graphic>
              <a:graphicData uri="http://schemas.openxmlformats.org/drawingml/2006/picture">
                <pic:pic>
                  <pic:nvPicPr>
                    <pic:cNvPr id="0" name="fig5_three_layer_analogy.png"/>
                    <pic:cNvPicPr/>
                  </pic:nvPicPr>
                  <pic:blipFill>
                    <a:blip r:embed="rId12"/>
                    <a:stretch>
                      <a:fillRect/>
                    </a:stretch>
                  </pic:blipFill>
                  <pic:spPr>
                    <a:xfrm>
                      <a:off x="0" y="0"/>
                      <a:ext cx="4572000" cy="2033027"/>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3286768"/>
            <wp:docPr id="5" name="Picture 5"/>
            <wp:cNvGraphicFramePr>
              <a:graphicFrameLocks noChangeAspect="1"/>
            </wp:cNvGraphicFramePr>
            <a:graphic>
              <a:graphicData uri="http://schemas.openxmlformats.org/drawingml/2006/picture">
                <pic:pic>
                  <pic:nvPicPr>
                    <pic:cNvPr id="0" name="fig2_che_vs_lifeexp.png"/>
                    <pic:cNvPicPr/>
                  </pic:nvPicPr>
                  <pic:blipFill>
                    <a:blip r:embed="rId13"/>
                    <a:stretch>
                      <a:fillRect/>
                    </a:stretch>
                  </pic:blipFill>
                  <pic:spPr>
                    <a:xfrm>
                      <a:off x="0" y="0"/>
                      <a:ext cx="4572000" cy="3286768"/>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022923"/>
            <wp:docPr id="6" name="Picture 6"/>
            <wp:cNvGraphicFramePr>
              <a:graphicFrameLocks noChangeAspect="1"/>
            </wp:cNvGraphicFramePr>
            <a:graphic>
              <a:graphicData uri="http://schemas.openxmlformats.org/drawingml/2006/picture">
                <pic:pic>
                  <pic:nvPicPr>
                    <pic:cNvPr id="0" name="fig6_equipment_density.png"/>
                    <pic:cNvPicPr/>
                  </pic:nvPicPr>
                  <pic:blipFill>
                    <a:blip r:embed="rId14"/>
                    <a:stretch>
                      <a:fillRect/>
                    </a:stretch>
                  </pic:blipFill>
                  <pic:spPr>
                    <a:xfrm>
                      <a:off x="0" y="0"/>
                      <a:ext cx="4572000" cy="3022923"/>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299134"/>
            <wp:docPr id="7" name="Picture 7"/>
            <wp:cNvGraphicFramePr>
              <a:graphicFrameLocks noChangeAspect="1"/>
            </wp:cNvGraphicFramePr>
            <a:graphic>
              <a:graphicData uri="http://schemas.openxmlformats.org/drawingml/2006/picture">
                <pic:pic>
                  <pic:nvPicPr>
                    <pic:cNvPr id="0" name="fig7_import_leakage_multiplier.png"/>
                    <pic:cNvPicPr/>
                  </pic:nvPicPr>
                  <pic:blipFill>
                    <a:blip r:embed="rId15"/>
                    <a:stretch>
                      <a:fillRect/>
                    </a:stretch>
                  </pic:blipFill>
                  <pic:spPr>
                    <a:xfrm>
                      <a:off x="0" y="0"/>
                      <a:ext cx="4572000" cy="3299134"/>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2838193"/>
            <wp:docPr id="8" name="Picture 8"/>
            <wp:cNvGraphicFramePr>
              <a:graphicFrameLocks noChangeAspect="1"/>
            </wp:cNvGraphicFramePr>
            <a:graphic>
              <a:graphicData uri="http://schemas.openxmlformats.org/drawingml/2006/picture">
                <pic:pic>
                  <pic:nvPicPr>
                    <pic:cNvPr id="0" name="fig8_counterfactual_japan.png"/>
                    <pic:cNvPicPr/>
                  </pic:nvPicPr>
                  <pic:blipFill>
                    <a:blip r:embed="rId16"/>
                    <a:stretch>
                      <a:fillRect/>
                    </a:stretch>
                  </pic:blipFill>
                  <pic:spPr>
                    <a:xfrm>
                      <a:off x="0" y="0"/>
                      <a:ext cx="4572000" cy="2838193"/>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3245501"/>
            <wp:docPr id="9" name="Picture 9"/>
            <wp:cNvGraphicFramePr>
              <a:graphicFrameLocks noChangeAspect="1"/>
            </wp:cNvGraphicFramePr>
            <a:graphic>
              <a:graphicData uri="http://schemas.openxmlformats.org/drawingml/2006/picture">
                <pic:pic>
                  <pic:nvPicPr>
                    <pic:cNvPr id="0" name="fig9_sensitivity_equip_share.png"/>
                    <pic:cNvPicPr/>
                  </pic:nvPicPr>
                  <pic:blipFill>
                    <a:blip r:embed="rId17"/>
                    <a:stretch>
                      <a:fillRect/>
                    </a:stretch>
                  </pic:blipFill>
                  <pic:spPr>
                    <a:xfrm>
                      <a:off x="0" y="0"/>
                      <a:ext cx="4572000" cy="3245501"/>
                    </a:xfrm>
                    <a:prstGeom prst="rect"/>
                  </pic:spPr>
                </pic:pic>
              </a:graphicData>
            </a:graphic>
          </wp:inline>
        </w:drawing>
      </w:r>
    </w:p>
    <w:p>
      <w:pPr>
        <w:spacing w:before="120" w:after="240"/>
        <w:jc w:val="center"/>
      </w:pPr>
      <w:r>
        <w:rPr>
          <w:i/>
          <w:sz w:val="20"/>
        </w:rPr>
        <w:t>Figure 9</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