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sz w:val="32"/>
        </w:rPr>
        <w:t>Impact of medical safety incidents on physician workforce and healthcare facility supply across 12 specialties in Japan: an interrupted time series analysis</w:t>
      </w:r>
    </w:p>
    <w:p>
      <w:pPr>
        <w:spacing w:after="120" w:line="480" w:lineRule="auto"/>
        <w:jc w:val="center"/>
      </w:pPr>
      <w:r>
        <w:rPr>
          <w:rFonts w:ascii="Times New Roman" w:hAnsi="Times New Roman"/>
          <w:b w:val="0"/>
          <w:i w:val="0"/>
          <w:sz w:val="24"/>
        </w:rPr>
        <w:t>Authors: Onishi Tatsuki</w:t>
      </w:r>
    </w:p>
    <w:p>
      <w:pPr>
        <w:spacing w:after="120" w:line="480" w:lineRule="auto"/>
        <w:jc w:val="center"/>
      </w:pPr>
      <w:r>
        <w:rPr>
          <w:rFonts w:ascii="Times New Roman" w:hAnsi="Times New Roman"/>
          <w:b w:val="0"/>
          <w:i w:val="0"/>
          <w:sz w:val="24"/>
        </w:rPr>
        <w:t>Correspondence to: Onishi Tatsuki</w:t>
        <w:br/>
        <w:t>Data Science AI Innovation Research Promotion Center, Shiga University</w:t>
        <w:br/>
        <w:t>1-1-1, Bamba, Hikone, Shiga, 522-8522 Japan</w:t>
      </w:r>
    </w:p>
    <w:p>
      <w:pPr>
        <w:spacing w:after="120" w:line="480" w:lineRule="auto"/>
        <w:jc w:val="center"/>
      </w:pPr>
      <w:r>
        <w:rPr>
          <w:rFonts w:ascii="Times New Roman" w:hAnsi="Times New Roman"/>
          <w:b w:val="0"/>
          <w:i/>
          <w:sz w:val="24"/>
        </w:rPr>
        <w:t>Word count: approximately 3 800 (excluding abstract, references, tables, and figures)</w:t>
      </w:r>
    </w:p>
    <w:p>
      <w:pPr>
        <w:spacing w:after="480" w:line="480" w:lineRule="auto"/>
        <w:jc w:val="center"/>
      </w:pPr>
      <w:r>
        <w:rPr>
          <w:rFonts w:ascii="Times New Roman" w:hAnsi="Times New Roman"/>
          <w:b w:val="0"/>
          <w:i/>
          <w:sz w:val="24"/>
        </w:rPr>
        <w:t>Keywords: medical accidents, physician supply, interrupted time series, workforce planning, Japan, patient safety</w:t>
      </w:r>
    </w:p>
    <w:p>
      <w:pPr>
        <w:pStyle w:val="Heading1"/>
      </w:pPr>
      <w:r>
        <w:rPr>
          <w:rFonts w:ascii="Times New Roman" w:hAnsi="Times New Roman"/>
          <w:color w:val="000000"/>
        </w:rPr>
        <w:t>Abstract</w:t>
      </w:r>
    </w:p>
    <w:p>
      <w:pPr>
        <w:spacing w:line="480" w:lineRule="auto" w:after="120"/>
      </w:pPr>
      <w:r>
        <w:rPr>
          <w:rFonts w:ascii="Times New Roman" w:hAnsi="Times New Roman"/>
          <w:b/>
          <w:sz w:val="24"/>
        </w:rPr>
        <w:t xml:space="preserve">Objective: </w:t>
      </w:r>
      <w:r>
        <w:rPr>
          <w:rFonts w:ascii="Times New Roman" w:hAnsi="Times New Roman"/>
          <w:sz w:val="24"/>
        </w:rPr>
        <w:t>To examine the association between medical safety incidents and changes in specialty-specific physician counts, healthcare facility numbers, and specialist trainee enrolment in Japan.</w:t>
      </w:r>
    </w:p>
    <w:p>
      <w:pPr>
        <w:spacing w:line="480" w:lineRule="auto" w:after="120"/>
      </w:pPr>
      <w:r>
        <w:rPr>
          <w:rFonts w:ascii="Times New Roman" w:hAnsi="Times New Roman"/>
          <w:b/>
          <w:sz w:val="24"/>
        </w:rPr>
        <w:t xml:space="preserve">Design: </w:t>
      </w:r>
      <w:r>
        <w:rPr>
          <w:rFonts w:ascii="Times New Roman" w:hAnsi="Times New Roman"/>
          <w:sz w:val="24"/>
        </w:rPr>
        <w:t>Interrupted time series analysis with segmented regression, cross-correlation analysis for lead time estimation, and Akaike information criterion (AIC)-based model selection for window period estimation. Reporting follows the REporting of studies Conducted using Observational Routinely-collected health Data (RECORD) guidelines.</w:t>
      </w:r>
    </w:p>
    <w:p>
      <w:pPr>
        <w:spacing w:line="480" w:lineRule="auto" w:after="120"/>
      </w:pPr>
      <w:r>
        <w:rPr>
          <w:rFonts w:ascii="Times New Roman" w:hAnsi="Times New Roman"/>
          <w:b/>
          <w:sz w:val="24"/>
        </w:rPr>
        <w:t xml:space="preserve">Setting: </w:t>
      </w:r>
      <w:r>
        <w:rPr>
          <w:rFonts w:ascii="Times New Roman" w:hAnsi="Times New Roman"/>
          <w:sz w:val="24"/>
        </w:rPr>
        <w:t>Japan, using national administrative databases.</w:t>
      </w:r>
    </w:p>
    <w:p>
      <w:pPr>
        <w:spacing w:line="480" w:lineRule="auto" w:after="120"/>
      </w:pPr>
      <w:r>
        <w:rPr>
          <w:rFonts w:ascii="Times New Roman" w:hAnsi="Times New Roman"/>
          <w:b/>
          <w:sz w:val="24"/>
        </w:rPr>
        <w:t xml:space="preserve">Participants: </w:t>
      </w:r>
      <w:r>
        <w:rPr>
          <w:rFonts w:ascii="Times New Roman" w:hAnsi="Times New Roman"/>
          <w:sz w:val="24"/>
        </w:rPr>
        <w:t>Physician workforce data from the National Survey of Physicians, Dentists, and Pharmacists (1994–2022, biennial); healthcare facility data from the Survey of Medical Institutions (2002–2024); specialist trainee data from the Japan Board of Medical Specialties (2018–2025). Twelve core medical specialties were analysed.</w:t>
      </w:r>
    </w:p>
    <w:p>
      <w:pPr>
        <w:spacing w:line="480" w:lineRule="auto" w:after="120"/>
      </w:pPr>
      <w:r>
        <w:rPr>
          <w:rFonts w:ascii="Times New Roman" w:hAnsi="Times New Roman"/>
          <w:b/>
          <w:sz w:val="24"/>
        </w:rPr>
        <w:t xml:space="preserve">Main outcome measures: </w:t>
      </w:r>
      <w:r>
        <w:rPr>
          <w:rFonts w:ascii="Times New Roman" w:hAnsi="Times New Roman"/>
          <w:sz w:val="24"/>
        </w:rPr>
        <w:t>Specialty-specific physician counts, healthcare facility counts, and new specialist trainee enrolment. The main exposure variables were medical safety incident counts derived from three definitions: (1) the Japan Medical Safety Research Organisation (JMSR) mandatory reporting system (2015–2025); (2) medical malpractice litigation statistics from the Supreme Court of Japan (2004–2023); and (3) a composite index combining both sources.</w:t>
      </w:r>
    </w:p>
    <w:p>
      <w:pPr>
        <w:spacing w:line="480" w:lineRule="auto" w:after="120"/>
      </w:pPr>
      <w:r>
        <w:rPr>
          <w:rFonts w:ascii="Times New Roman" w:hAnsi="Times New Roman"/>
          <w:b/>
          <w:sz w:val="24"/>
        </w:rPr>
        <w:t xml:space="preserve">Results: </w:t>
      </w:r>
      <w:r>
        <w:rPr>
          <w:rFonts w:ascii="Times New Roman" w:hAnsi="Times New Roman"/>
          <w:sz w:val="24"/>
        </w:rPr>
        <w:t>In cross-correlation analysis after detrending, obstetrics and gynaecology showed the strongest inverse association between incident reports and physician numbers across all three definitions (r=−0.95, lag +3 years). Additional specialties demonstrating strong delayed inverse associations (|r|&gt;0.9) included otolaryngology (r=−0.97, lag +6 years with litigation), dermatology (r=−0.99, lag +7 years), and urology (r=−0.94, lag +6 years with JMSR). The estimated lead time from incident occurrence to workforce impact averaged 1–3 years for physician counts but was near zero for facility counts. The estimated window period of the effect was 4–5 years on average. Segmented regression models demonstrated high goodness of fit (median R²=0.997). Linear trend projections forecast continued decline in general surgery (−260 physicians/year, −350 facilities/year) and obstetrics and gynaecology facilities (−65/year) through 2034, while emergency medicine and general practice trainee numbers are projected to increase.</w:t>
      </w:r>
    </w:p>
    <w:p>
      <w:pPr>
        <w:spacing w:line="480" w:lineRule="auto" w:after="120"/>
      </w:pPr>
      <w:r>
        <w:rPr>
          <w:rFonts w:ascii="Times New Roman" w:hAnsi="Times New Roman"/>
          <w:b/>
          <w:sz w:val="24"/>
        </w:rPr>
        <w:t xml:space="preserve">Conclusions: </w:t>
      </w:r>
      <w:r>
        <w:rPr>
          <w:rFonts w:ascii="Times New Roman" w:hAnsi="Times New Roman"/>
          <w:sz w:val="24"/>
        </w:rPr>
        <w:t>Medical safety incidents are followed by measurable reductions in specialty-specific physician supply, with a lead time of 1–3 years and effect duration of 4–5 years. Obstetrics and gynaecology and general surgery appear most vulnerable. These findings support proactive workforce planning that accounts for the downstream workforce effects of patient safety events.</w:t>
      </w:r>
    </w:p>
    <w:p>
      <w:r>
        <w:br w:type="page"/>
      </w:r>
    </w:p>
    <w:p>
      <w:pPr>
        <w:pStyle w:val="Heading2"/>
      </w:pPr>
      <w:r>
        <w:rPr>
          <w:rFonts w:ascii="Times New Roman" w:hAnsi="Times New Roman"/>
          <w:color w:val="000000"/>
        </w:rPr>
        <w:t>What is already known on this topic</w:t>
      </w:r>
    </w:p>
    <w:p>
      <w:pPr>
        <w:pStyle w:val="ListBullet"/>
        <w:spacing w:line="480" w:lineRule="auto"/>
      </w:pPr>
      <w:r>
        <w:rPr>
          <w:rFonts w:ascii="Times New Roman" w:hAnsi="Times New Roman"/>
          <w:sz w:val="24"/>
        </w:rPr>
        <w:t>Medical malpractice litigation has been associated with defensive medicine practices and physician avoidance of high-risk specialties, primarily studied in the United States.</w:t>
      </w:r>
    </w:p>
    <w:p>
      <w:pPr>
        <w:pStyle w:val="ListBullet"/>
        <w:spacing w:line="480" w:lineRule="auto"/>
      </w:pPr>
      <w:r>
        <w:rPr>
          <w:rFonts w:ascii="Times New Roman" w:hAnsi="Times New Roman"/>
          <w:sz w:val="24"/>
        </w:rPr>
        <w:t>A single natural experiment in Japan (Fukushima obstetrics prosecution, 2006) demonstrated a 13% reduction in obstetricians using difference-in-differences analysis.</w:t>
      </w:r>
    </w:p>
    <w:p>
      <w:pPr>
        <w:pStyle w:val="ListBullet"/>
        <w:spacing w:line="480" w:lineRule="auto"/>
      </w:pPr>
      <w:r>
        <w:rPr>
          <w:rFonts w:ascii="Times New Roman" w:hAnsi="Times New Roman"/>
          <w:sz w:val="24"/>
        </w:rPr>
        <w:t>No study has systematically quantified the temporal dynamics (lead time and duration) of the association between medical safety incidents and physician workforce changes across multiple specialties.</w:t>
      </w:r>
    </w:p>
    <w:p>
      <w:pPr>
        <w:pStyle w:val="Heading2"/>
      </w:pPr>
      <w:r>
        <w:rPr>
          <w:rFonts w:ascii="Times New Roman" w:hAnsi="Times New Roman"/>
          <w:color w:val="000000"/>
        </w:rPr>
        <w:t>What this study adds</w:t>
      </w:r>
    </w:p>
    <w:p>
      <w:pPr>
        <w:pStyle w:val="ListBullet"/>
        <w:spacing w:line="480" w:lineRule="auto"/>
      </w:pPr>
      <w:r>
        <w:rPr>
          <w:rFonts w:ascii="Times New Roman" w:hAnsi="Times New Roman"/>
          <w:sz w:val="24"/>
        </w:rPr>
        <w:t>This study provides the first multi-specialty interrupted time series analysis of medical safety incident effects on physician supply, facility counts, and trainee enrolment across 12 specialties in Japan, using three complementary incident definitions.</w:t>
      </w:r>
    </w:p>
    <w:p>
      <w:pPr>
        <w:pStyle w:val="ListBullet"/>
        <w:spacing w:line="480" w:lineRule="auto"/>
      </w:pPr>
      <w:r>
        <w:rPr>
          <w:rFonts w:ascii="Times New Roman" w:hAnsi="Times New Roman"/>
          <w:sz w:val="24"/>
        </w:rPr>
        <w:t>The estimated lead time of 1–3 years and window period of 4–5 years offer actionable parameters for workforce forecasting models.</w:t>
      </w:r>
    </w:p>
    <w:p>
      <w:pPr>
        <w:pStyle w:val="ListBullet"/>
        <w:spacing w:line="480" w:lineRule="auto"/>
      </w:pPr>
      <w:r>
        <w:rPr>
          <w:rFonts w:ascii="Times New Roman" w:hAnsi="Times New Roman"/>
          <w:sz w:val="24"/>
        </w:rPr>
        <w:t>Beyond the well-documented case of obstetrics, specialties including otolaryngology, dermatology, and urology showed strong delayed inverse associations between incidents and workforce supply—relationships not previously reported.</w:t>
      </w:r>
    </w:p>
    <w:p>
      <w:r>
        <w:br w:type="page"/>
      </w:r>
    </w:p>
    <w:p>
      <w:pPr>
        <w:pStyle w:val="Heading1"/>
      </w:pPr>
      <w:r>
        <w:rPr>
          <w:rFonts w:ascii="Times New Roman" w:hAnsi="Times New Roman"/>
          <w:color w:val="000000"/>
        </w:rPr>
        <w:t>Introduction</w:t>
      </w:r>
    </w:p>
    <w:p>
      <w:pPr>
        <w:spacing w:after="120" w:line="480" w:lineRule="auto"/>
      </w:pPr>
      <w:r>
        <w:rPr>
          <w:rFonts w:ascii="Times New Roman" w:hAnsi="Times New Roman"/>
          <w:b w:val="0"/>
          <w:i w:val="0"/>
          <w:sz w:val="24"/>
        </w:rPr>
        <w:t>The relationship between medical safety incidents and physician workforce dynamics is of growing importance to health systems worldwide. Concerns that malpractice risk drives physicians away from high-risk specialties have been raised for decades,</w:t>
      </w:r>
      <w:r>
        <w:rPr>
          <w:rFonts w:ascii="Times New Roman" w:hAnsi="Times New Roman"/>
          <w:b w:val="0"/>
          <w:i w:val="0"/>
          <w:sz w:val="20"/>
          <w:vertAlign w:val="superscript"/>
        </w:rPr>
        <w:t>1-3</w:t>
      </w:r>
      <w:r>
        <w:rPr>
          <w:rFonts w:ascii="Times New Roman" w:hAnsi="Times New Roman"/>
          <w:b w:val="0"/>
          <w:i w:val="0"/>
          <w:sz w:val="24"/>
        </w:rPr>
        <w:t xml:space="preserve"> yet quantitative evidence remains limited, geographically concentrated in the United States, and largely focused on tort reform rather than incident occurrence itself.</w:t>
      </w:r>
      <w:r>
        <w:rPr>
          <w:rFonts w:ascii="Times New Roman" w:hAnsi="Times New Roman"/>
          <w:b w:val="0"/>
          <w:i w:val="0"/>
          <w:sz w:val="20"/>
          <w:vertAlign w:val="superscript"/>
        </w:rPr>
        <w:t>4-6</w:t>
      </w:r>
    </w:p>
    <w:p>
      <w:pPr>
        <w:spacing w:after="120" w:line="480" w:lineRule="auto"/>
      </w:pPr>
      <w:r>
        <w:rPr>
          <w:rFonts w:ascii="Times New Roman" w:hAnsi="Times New Roman"/>
          <w:b w:val="0"/>
          <w:i w:val="0"/>
          <w:sz w:val="24"/>
        </w:rPr>
        <w:t>Japan provides a particularly informative setting for studying this phenomenon. In 2004, an obstetrician at Fukushima Prefectural Ohno Hospital was arrested following a maternal death during caesarean section, and subsequently prosecuted in 2006 for professional negligence causing death.</w:t>
      </w:r>
      <w:r>
        <w:rPr>
          <w:rFonts w:ascii="Times New Roman" w:hAnsi="Times New Roman"/>
          <w:b w:val="0"/>
          <w:i w:val="0"/>
          <w:sz w:val="20"/>
          <w:vertAlign w:val="superscript"/>
        </w:rPr>
        <w:t>7</w:t>
      </w:r>
      <w:r>
        <w:rPr>
          <w:rFonts w:ascii="Times New Roman" w:hAnsi="Times New Roman"/>
          <w:b w:val="0"/>
          <w:i w:val="0"/>
          <w:sz w:val="24"/>
        </w:rPr>
        <w:t xml:space="preserve"> Although the physician was acquitted in 2008, the case precipitated widespread concern among physicians and is widely regarded as a catalyst for the subsequent decline in obstetricians willing to provide delivery services.</w:t>
      </w:r>
      <w:r>
        <w:rPr>
          <w:rFonts w:ascii="Times New Roman" w:hAnsi="Times New Roman"/>
          <w:b w:val="0"/>
          <w:i w:val="0"/>
          <w:sz w:val="20"/>
          <w:vertAlign w:val="superscript"/>
        </w:rPr>
        <w:t>8,9</w:t>
      </w:r>
      <w:r>
        <w:rPr>
          <w:rFonts w:ascii="Times New Roman" w:hAnsi="Times New Roman"/>
          <w:b w:val="0"/>
          <w:i w:val="0"/>
          <w:sz w:val="24"/>
        </w:rPr>
        <w:t xml:space="preserve"> Morita estimated a 13% decrease in obstetricians in the affected prefecture using difference-in-differences and synthetic control methods.</w:t>
      </w:r>
      <w:r>
        <w:rPr>
          <w:rFonts w:ascii="Times New Roman" w:hAnsi="Times New Roman"/>
          <w:b w:val="0"/>
          <w:i w:val="0"/>
          <w:sz w:val="20"/>
          <w:vertAlign w:val="superscript"/>
        </w:rPr>
        <w:t>10</w:t>
      </w:r>
      <w:r>
        <w:rPr>
          <w:rFonts w:ascii="Times New Roman" w:hAnsi="Times New Roman"/>
          <w:b w:val="0"/>
          <w:i w:val="0"/>
          <w:sz w:val="24"/>
        </w:rPr>
        <w:t xml:space="preserve"> However, this analysis was limited to a single event, a single specialty, and a single geographic area.</w:t>
      </w:r>
    </w:p>
    <w:p>
      <w:pPr>
        <w:spacing w:after="120" w:line="480" w:lineRule="auto"/>
      </w:pPr>
      <w:r>
        <w:rPr>
          <w:rFonts w:ascii="Times New Roman" w:hAnsi="Times New Roman"/>
          <w:b w:val="0"/>
          <w:i w:val="0"/>
          <w:sz w:val="24"/>
        </w:rPr>
        <w:t>Japan’s healthcare system features two national-level data sources on medical safety incidents. First, the Japan Medical Safety Research Organisation (JMSR; Iryo Anzen Chosa Kiko) was established in 2015 under a revision to the Medical Care Act, creating a mandatory reporting system for unexpected deaths potentially related to medical care.</w:t>
      </w:r>
      <w:r>
        <w:rPr>
          <w:rFonts w:ascii="Times New Roman" w:hAnsi="Times New Roman"/>
          <w:b w:val="0"/>
          <w:i w:val="0"/>
          <w:sz w:val="20"/>
          <w:vertAlign w:val="superscript"/>
        </w:rPr>
        <w:t>11</w:t>
      </w:r>
      <w:r>
        <w:rPr>
          <w:rFonts w:ascii="Times New Roman" w:hAnsi="Times New Roman"/>
          <w:b w:val="0"/>
          <w:i w:val="0"/>
          <w:sz w:val="24"/>
        </w:rPr>
        <w:t xml:space="preserve"> Second, the Supreme Court of Japan publishes annual statistics on medical malpractice litigation by specialty.</w:t>
      </w:r>
      <w:r>
        <w:rPr>
          <w:rFonts w:ascii="Times New Roman" w:hAnsi="Times New Roman"/>
          <w:b w:val="0"/>
          <w:i w:val="0"/>
          <w:sz w:val="20"/>
          <w:vertAlign w:val="superscript"/>
        </w:rPr>
        <w:t>12,13</w:t>
      </w:r>
      <w:r>
        <w:rPr>
          <w:rFonts w:ascii="Times New Roman" w:hAnsi="Times New Roman"/>
          <w:b w:val="0"/>
          <w:i w:val="0"/>
          <w:sz w:val="24"/>
        </w:rPr>
        <w:t xml:space="preserve"> Additionally, Japan conducts biennial national surveys of all practising physicians and maintains annual records of healthcare facility registrations by specialty—providing unusually detailed, population-level workforce data.</w:t>
      </w:r>
    </w:p>
    <w:p>
      <w:pPr>
        <w:spacing w:after="120" w:line="480" w:lineRule="auto"/>
      </w:pPr>
      <w:r>
        <w:rPr>
          <w:rFonts w:ascii="Times New Roman" w:hAnsi="Times New Roman"/>
          <w:b w:val="0"/>
          <w:i w:val="0"/>
          <w:sz w:val="24"/>
        </w:rPr>
        <w:t>We aimed to quantify the temporal association between medical safety incidents and changes in specialty-specific physician counts, healthcare facility numbers, and specialist trainee enrolment, and to estimate the lead time and duration of these associations to inform workforce planning.</w:t>
      </w:r>
    </w:p>
    <w:p>
      <w:pPr>
        <w:pStyle w:val="Heading1"/>
      </w:pPr>
      <w:r>
        <w:rPr>
          <w:rFonts w:ascii="Times New Roman" w:hAnsi="Times New Roman"/>
          <w:color w:val="000000"/>
        </w:rPr>
        <w:t>Methods</w:t>
      </w:r>
    </w:p>
    <w:p>
      <w:pPr>
        <w:pStyle w:val="Heading2"/>
      </w:pPr>
      <w:r>
        <w:rPr>
          <w:rFonts w:ascii="Times New Roman" w:hAnsi="Times New Roman"/>
          <w:color w:val="000000"/>
        </w:rPr>
        <w:t>Study design and reporting</w:t>
      </w:r>
    </w:p>
    <w:p>
      <w:pPr>
        <w:spacing w:after="120" w:line="480" w:lineRule="auto"/>
      </w:pPr>
      <w:r>
        <w:rPr>
          <w:rFonts w:ascii="Times New Roman" w:hAnsi="Times New Roman"/>
          <w:b w:val="0"/>
          <w:i w:val="0"/>
          <w:sz w:val="24"/>
        </w:rPr>
        <w:t>We conducted an interrupted time series (ITS) analysis using routinely collected national administrative data from Japan. This study is reported in accordance with the RECORD (REporting of studies Conducted using Observational Routinely-collected health Data) statement,</w:t>
      </w:r>
      <w:r>
        <w:rPr>
          <w:rFonts w:ascii="Times New Roman" w:hAnsi="Times New Roman"/>
          <w:b w:val="0"/>
          <w:i w:val="0"/>
          <w:sz w:val="20"/>
          <w:vertAlign w:val="superscript"/>
        </w:rPr>
        <w:t>14,15</w:t>
      </w:r>
      <w:r>
        <w:rPr>
          <w:rFonts w:ascii="Times New Roman" w:hAnsi="Times New Roman"/>
          <w:b w:val="0"/>
          <w:i w:val="0"/>
          <w:sz w:val="24"/>
        </w:rPr>
        <w:t xml:space="preserve"> which extends the Strengthening the Reporting of Observational Studies in Epidemiology (STROBE) guidelines, and the Cochrane Effective Practice and Organisation of Care (EPOC) criteria for interrupted time series studies.</w:t>
      </w:r>
      <w:r>
        <w:rPr>
          <w:rFonts w:ascii="Times New Roman" w:hAnsi="Times New Roman"/>
          <w:b w:val="0"/>
          <w:i w:val="0"/>
          <w:sz w:val="20"/>
          <w:vertAlign w:val="superscript"/>
        </w:rPr>
        <w:t>16</w:t>
      </w:r>
      <w:r>
        <w:rPr>
          <w:rFonts w:ascii="Times New Roman" w:hAnsi="Times New Roman"/>
          <w:b w:val="0"/>
          <w:i w:val="0"/>
          <w:sz w:val="24"/>
        </w:rPr>
        <w:t xml:space="preserve"> A completed RECORD checklist is provided in supplementary table S1.</w:t>
      </w:r>
    </w:p>
    <w:p>
      <w:pPr>
        <w:pStyle w:val="Heading2"/>
      </w:pPr>
      <w:r>
        <w:rPr>
          <w:rFonts w:ascii="Times New Roman" w:hAnsi="Times New Roman"/>
          <w:color w:val="000000"/>
        </w:rPr>
        <w:t>Data sources</w:t>
      </w:r>
    </w:p>
    <w:p>
      <w:pPr>
        <w:pStyle w:val="Heading3"/>
      </w:pPr>
      <w:r>
        <w:rPr>
          <w:rFonts w:ascii="Times New Roman" w:hAnsi="Times New Roman"/>
          <w:color w:val="000000"/>
        </w:rPr>
        <w:t>Medical safety incident data</w:t>
      </w:r>
    </w:p>
    <w:p>
      <w:pPr>
        <w:spacing w:after="120" w:line="480" w:lineRule="auto"/>
      </w:pPr>
      <w:r>
        <w:rPr>
          <w:rFonts w:ascii="Times New Roman" w:hAnsi="Times New Roman"/>
          <w:b w:val="0"/>
          <w:i w:val="0"/>
          <w:sz w:val="24"/>
        </w:rPr>
        <w:t>Definition 1 (JMSR): Annual specialty-specific incident reports to the Japan Medical Safety Research Organisation for fiscal years 2015–2025.</w:t>
      </w:r>
      <w:r>
        <w:rPr>
          <w:rFonts w:ascii="Times New Roman" w:hAnsi="Times New Roman"/>
          <w:b w:val="0"/>
          <w:i w:val="0"/>
          <w:sz w:val="20"/>
          <w:vertAlign w:val="superscript"/>
        </w:rPr>
        <w:t>11</w:t>
      </w:r>
      <w:r>
        <w:rPr>
          <w:rFonts w:ascii="Times New Roman" w:hAnsi="Times New Roman"/>
          <w:b w:val="0"/>
          <w:i w:val="0"/>
          <w:sz w:val="24"/>
        </w:rPr>
        <w:t xml:space="preserve"> Reporting is mandatory for all medical institutions when a death occurs that may have been caused by medical care. Data are publicly available and categorised by the specialty department where the incident occurred.</w:t>
      </w:r>
    </w:p>
    <w:p>
      <w:pPr>
        <w:spacing w:after="120" w:line="480" w:lineRule="auto"/>
      </w:pPr>
      <w:r>
        <w:rPr>
          <w:rFonts w:ascii="Times New Roman" w:hAnsi="Times New Roman"/>
          <w:b w:val="0"/>
          <w:i w:val="0"/>
          <w:sz w:val="24"/>
        </w:rPr>
        <w:t>Definition 2 (Litigation): Annual specialty-specific medical malpractice closed-claim counts from the Supreme Court of Japan for 2004–2023.</w:t>
      </w:r>
      <w:r>
        <w:rPr>
          <w:rFonts w:ascii="Times New Roman" w:hAnsi="Times New Roman"/>
          <w:b w:val="0"/>
          <w:i w:val="0"/>
          <w:sz w:val="20"/>
          <w:vertAlign w:val="superscript"/>
        </w:rPr>
        <w:t>12</w:t>
      </w:r>
      <w:r>
        <w:rPr>
          <w:rFonts w:ascii="Times New Roman" w:hAnsi="Times New Roman"/>
          <w:b w:val="0"/>
          <w:i w:val="0"/>
          <w:sz w:val="24"/>
        </w:rPr>
        <w:t xml:space="preserve"> These data capture resolved civil litigation cases and are stratified by the defendant physician’s specialty.</w:t>
      </w:r>
    </w:p>
    <w:p>
      <w:pPr>
        <w:spacing w:after="120" w:line="480" w:lineRule="auto"/>
      </w:pPr>
      <w:r>
        <w:rPr>
          <w:rFonts w:ascii="Times New Roman" w:hAnsi="Times New Roman"/>
          <w:b w:val="0"/>
          <w:i w:val="0"/>
          <w:sz w:val="24"/>
        </w:rPr>
        <w:t>Definition 3 (Composite): A composite index for the overlapping period (2015–2023) was constructed by min-max normalising each source to a [0,1] scale and averaging the normalised values.</w:t>
      </w:r>
    </w:p>
    <w:p>
      <w:pPr>
        <w:pStyle w:val="Heading3"/>
      </w:pPr>
      <w:r>
        <w:rPr>
          <w:rFonts w:ascii="Times New Roman" w:hAnsi="Times New Roman"/>
          <w:color w:val="000000"/>
        </w:rPr>
        <w:t>Physician workforce data</w:t>
      </w:r>
    </w:p>
    <w:p>
      <w:pPr>
        <w:spacing w:after="120" w:line="480" w:lineRule="auto"/>
      </w:pPr>
      <w:r>
        <w:rPr>
          <w:rFonts w:ascii="Times New Roman" w:hAnsi="Times New Roman"/>
          <w:b w:val="0"/>
          <w:i w:val="0"/>
          <w:sz w:val="24"/>
        </w:rPr>
        <w:t>Specialty-specific physician counts were obtained from the National Survey of Physicians, Dentists, and Pharmacists (Ishi Shika Ishi Yakuzaishi Chosa), conducted biennially by the Ministry of Health, Labour and Welfare, covering 1994–2022 (with 2024 provisional estimates).</w:t>
      </w:r>
      <w:r>
        <w:rPr>
          <w:rFonts w:ascii="Times New Roman" w:hAnsi="Times New Roman"/>
          <w:b w:val="0"/>
          <w:i w:val="0"/>
          <w:sz w:val="20"/>
          <w:vertAlign w:val="superscript"/>
        </w:rPr>
        <w:t>17</w:t>
      </w:r>
      <w:r>
        <w:rPr>
          <w:rFonts w:ascii="Times New Roman" w:hAnsi="Times New Roman"/>
          <w:b w:val="0"/>
          <w:i w:val="0"/>
          <w:sz w:val="24"/>
        </w:rPr>
        <w:t xml:space="preserve"> Each physician is counted once under their self-reported primary specialty. As the survey is biennial, annual values were obtained by linear interpolation between survey years.</w:t>
      </w:r>
    </w:p>
    <w:p>
      <w:pPr>
        <w:pStyle w:val="Heading3"/>
      </w:pPr>
      <w:r>
        <w:rPr>
          <w:rFonts w:ascii="Times New Roman" w:hAnsi="Times New Roman"/>
          <w:color w:val="000000"/>
        </w:rPr>
        <w:t>Healthcare facility data</w:t>
      </w:r>
    </w:p>
    <w:p>
      <w:pPr>
        <w:spacing w:after="120" w:line="480" w:lineRule="auto"/>
      </w:pPr>
      <w:r>
        <w:rPr>
          <w:rFonts w:ascii="Times New Roman" w:hAnsi="Times New Roman"/>
          <w:b w:val="0"/>
          <w:i w:val="0"/>
          <w:sz w:val="24"/>
        </w:rPr>
        <w:t>Specialty-specific facility counts were obtained from the Survey of Medical Institutions (Iryo Shisetsu Dotai Chosa), covering 2002–2024.</w:t>
      </w:r>
      <w:r>
        <w:rPr>
          <w:rFonts w:ascii="Times New Roman" w:hAnsi="Times New Roman"/>
          <w:b w:val="0"/>
          <w:i w:val="0"/>
          <w:sz w:val="20"/>
          <w:vertAlign w:val="superscript"/>
        </w:rPr>
        <w:t>18</w:t>
      </w:r>
      <w:r>
        <w:rPr>
          <w:rFonts w:ascii="Times New Roman" w:hAnsi="Times New Roman"/>
          <w:b w:val="0"/>
          <w:i w:val="0"/>
          <w:sz w:val="24"/>
        </w:rPr>
        <w:t xml:space="preserve"> A facility was counted as providing a given specialty if it was listed among the facility’s registered clinical departments (hyoboka).</w:t>
      </w:r>
    </w:p>
    <w:p>
      <w:pPr>
        <w:pStyle w:val="Heading3"/>
      </w:pPr>
      <w:r>
        <w:rPr>
          <w:rFonts w:ascii="Times New Roman" w:hAnsi="Times New Roman"/>
          <w:color w:val="000000"/>
        </w:rPr>
        <w:t>Specialist trainee data</w:t>
      </w:r>
    </w:p>
    <w:p>
      <w:pPr>
        <w:spacing w:after="120" w:line="480" w:lineRule="auto"/>
      </w:pPr>
      <w:r>
        <w:rPr>
          <w:rFonts w:ascii="Times New Roman" w:hAnsi="Times New Roman"/>
          <w:b w:val="0"/>
          <w:i w:val="0"/>
          <w:sz w:val="24"/>
        </w:rPr>
        <w:t>New specialist trainee (senkoi) enrolment counts by basic specialty domain were obtained from the Japan Board of Medical Specialties (Nihon Senmon-i Kiko) for 2018–2025.</w:t>
      </w:r>
      <w:r>
        <w:rPr>
          <w:rFonts w:ascii="Times New Roman" w:hAnsi="Times New Roman"/>
          <w:b w:val="0"/>
          <w:i w:val="0"/>
          <w:sz w:val="20"/>
          <w:vertAlign w:val="superscript"/>
        </w:rPr>
        <w:t>19</w:t>
      </w:r>
      <w:r>
        <w:rPr>
          <w:rFonts w:ascii="Times New Roman" w:hAnsi="Times New Roman"/>
          <w:b w:val="0"/>
          <w:i w:val="0"/>
          <w:sz w:val="24"/>
        </w:rPr>
        <w:t xml:space="preserve"> These data cover the 19 basic specialty domains of the two-tier board certification system introduced in 2018; sub-specialty (second-tier) data were not available.</w:t>
      </w:r>
    </w:p>
    <w:p>
      <w:pPr>
        <w:pStyle w:val="Heading2"/>
      </w:pPr>
      <w:r>
        <w:rPr>
          <w:rFonts w:ascii="Times New Roman" w:hAnsi="Times New Roman"/>
          <w:color w:val="000000"/>
        </w:rPr>
        <w:t>Specialties analysed</w:t>
      </w:r>
    </w:p>
    <w:p>
      <w:pPr>
        <w:spacing w:after="120" w:line="480" w:lineRule="auto"/>
      </w:pPr>
      <w:r>
        <w:rPr>
          <w:rFonts w:ascii="Times New Roman" w:hAnsi="Times New Roman"/>
          <w:b w:val="0"/>
          <w:i w:val="0"/>
          <w:sz w:val="24"/>
        </w:rPr>
        <w:t>Twelve core specialties with sufficient data across all sources were analysed: internal medicine (naika), general surgery (geka), orthopaedic surgery (seikei geka), plastic surgery (keisei geka), obstetrics and gynaecology (sanfujinka), paediatrics (shonika), psychiatry (seishinka), ophthalmology (ganka), otolaryngology (jibi inkoka), urology (hinyokika), dermatology (hifuka), and anaesthesiology (masuika). Additional specialties (emergency medicine, general practice, radiology, neurosurgery, rehabilitation medicine) were included for trainee analysis only.</w:t>
      </w:r>
    </w:p>
    <w:p>
      <w:pPr>
        <w:pStyle w:val="Heading2"/>
      </w:pPr>
      <w:r>
        <w:rPr>
          <w:rFonts w:ascii="Times New Roman" w:hAnsi="Times New Roman"/>
          <w:color w:val="000000"/>
        </w:rPr>
        <w:t>Statistical analysis</w:t>
      </w:r>
    </w:p>
    <w:p>
      <w:pPr>
        <w:pStyle w:val="Heading3"/>
      </w:pPr>
      <w:r>
        <w:rPr>
          <w:rFonts w:ascii="Times New Roman" w:hAnsi="Times New Roman"/>
          <w:color w:val="000000"/>
        </w:rPr>
        <w:t>Interrupted time series segmented regression</w:t>
      </w:r>
    </w:p>
    <w:p>
      <w:pPr>
        <w:spacing w:after="120" w:line="480" w:lineRule="auto"/>
      </w:pPr>
      <w:r>
        <w:rPr>
          <w:rFonts w:ascii="Times New Roman" w:hAnsi="Times New Roman"/>
          <w:b w:val="0"/>
          <w:i w:val="0"/>
          <w:sz w:val="24"/>
        </w:rPr>
        <w:t>For each specialty-outcome-definition combination, we fitted the following segmented regression model, following established ITS methodology:</w:t>
      </w:r>
      <w:r>
        <w:rPr>
          <w:rFonts w:ascii="Times New Roman" w:hAnsi="Times New Roman"/>
          <w:b w:val="0"/>
          <w:i w:val="0"/>
          <w:sz w:val="20"/>
          <w:vertAlign w:val="superscript"/>
        </w:rPr>
        <w:t>20-22</w:t>
      </w:r>
    </w:p>
    <w:p>
      <w:pPr>
        <w:spacing w:after="240" w:line="480" w:lineRule="auto"/>
        <w:jc w:val="center"/>
      </w:pPr>
      <w:r>
        <w:rPr>
          <w:rFonts w:ascii="Times New Roman" w:hAnsi="Times New Roman"/>
          <w:i/>
          <w:sz w:val="24"/>
        </w:rPr>
        <w:t>Yₜ = β₀ + β₁·timeₜ + β₂·interventionₜ + β₃·time_afterₜ + β₄·accident_rateₜ + εₜ</w:t>
      </w:r>
    </w:p>
    <w:p>
      <w:pPr>
        <w:spacing w:after="120" w:line="480" w:lineRule="auto"/>
      </w:pPr>
      <w:r>
        <w:rPr>
          <w:rFonts w:ascii="Times New Roman" w:hAnsi="Times New Roman"/>
          <w:b w:val="0"/>
          <w:i w:val="0"/>
          <w:sz w:val="24"/>
        </w:rPr>
        <w:t>where Yₜ is the outcome (physician count, facility count, or trainee count) at time t; timeₜ is a sequential time variable; interventionₜ is a binary indicator for the period at and after the year of peak incident reporting for that specialty-definition pair; time_afterₜ is the time elapsed since the intervention point; and accident_rateₜ is the contemporaneous incident count. Models were fitted using ordinary least squares (OLS). The intervention year was set to the year of maximum incident count for each specialty-definition pair.</w:t>
      </w:r>
    </w:p>
    <w:p>
      <w:pPr>
        <w:pStyle w:val="Heading3"/>
      </w:pPr>
      <w:r>
        <w:rPr>
          <w:rFonts w:ascii="Times New Roman" w:hAnsi="Times New Roman"/>
          <w:color w:val="000000"/>
        </w:rPr>
        <w:t>Lead time estimation by cross-correlation</w:t>
      </w:r>
    </w:p>
    <w:p>
      <w:pPr>
        <w:spacing w:after="120" w:line="480" w:lineRule="auto"/>
      </w:pPr>
      <w:r>
        <w:rPr>
          <w:rFonts w:ascii="Times New Roman" w:hAnsi="Times New Roman"/>
          <w:b w:val="0"/>
          <w:i w:val="0"/>
          <w:sz w:val="24"/>
        </w:rPr>
        <w:t>To estimate the lead time (delay) between incident occurrence and workforce impact, we computed cross-correlation functions between detrended incident and outcome series. Both series were linearly detrended to remove shared secular trends before computing Pearson correlation coefficients at lags of −8 to +8 years. The lag with the most negative correlation was identified as the estimated lead time for each specialty-definition-outcome combination. A positive lag indicates that changes in incident counts precede changes in the outcome variable.</w:t>
      </w:r>
    </w:p>
    <w:p>
      <w:pPr>
        <w:pStyle w:val="Heading3"/>
      </w:pPr>
      <w:r>
        <w:rPr>
          <w:rFonts w:ascii="Times New Roman" w:hAnsi="Times New Roman"/>
          <w:color w:val="000000"/>
        </w:rPr>
        <w:t>Window period estimation</w:t>
      </w:r>
    </w:p>
    <w:p>
      <w:pPr>
        <w:spacing w:after="120" w:line="480" w:lineRule="auto"/>
      </w:pPr>
      <w:r>
        <w:rPr>
          <w:rFonts w:ascii="Times New Roman" w:hAnsi="Times New Roman"/>
          <w:b w:val="0"/>
          <w:i w:val="0"/>
          <w:sz w:val="24"/>
        </w:rPr>
        <w:t>To estimate the duration over which incidents affect workforce outcomes (the window period), we employed an AIC-based model selection approach. For each specialty-definition-outcome combination, we fitted a series of models with binary intervention indicators of varying duration (1–10 years) beginning at the year of peak incident reporting. The window period was selected as the duration yielding the lowest AIC value.</w:t>
      </w:r>
    </w:p>
    <w:p>
      <w:pPr>
        <w:pStyle w:val="Heading3"/>
      </w:pPr>
      <w:r>
        <w:rPr>
          <w:rFonts w:ascii="Times New Roman" w:hAnsi="Times New Roman"/>
          <w:color w:val="000000"/>
        </w:rPr>
        <w:t>Forecasting</w:t>
      </w:r>
    </w:p>
    <w:p>
      <w:pPr>
        <w:spacing w:after="120" w:line="480" w:lineRule="auto"/>
      </w:pPr>
      <w:r>
        <w:rPr>
          <w:rFonts w:ascii="Times New Roman" w:hAnsi="Times New Roman"/>
          <w:b w:val="0"/>
          <w:i w:val="0"/>
          <w:sz w:val="24"/>
        </w:rPr>
        <w:t>For specialties with at least 10 years of outcome data, we projected physician counts, facility counts, and trainee numbers from 2025 to 2034 using linear trend extrapolation fitted to the most recent 10 years of data. Ninety-five percent prediction intervals were computed from the regression standard error.</w:t>
      </w:r>
    </w:p>
    <w:p>
      <w:pPr>
        <w:pStyle w:val="Heading3"/>
      </w:pPr>
      <w:r>
        <w:rPr>
          <w:rFonts w:ascii="Times New Roman" w:hAnsi="Times New Roman"/>
          <w:color w:val="000000"/>
        </w:rPr>
        <w:t>Software</w:t>
      </w:r>
    </w:p>
    <w:p>
      <w:pPr>
        <w:spacing w:after="120" w:line="480" w:lineRule="auto"/>
      </w:pPr>
      <w:r>
        <w:rPr>
          <w:rFonts w:ascii="Times New Roman" w:hAnsi="Times New Roman"/>
          <w:b w:val="0"/>
          <w:i w:val="0"/>
          <w:sz w:val="24"/>
        </w:rPr>
        <w:t>All analyses were performed in Python 3.11 using NumPy 1.24, SciPy 1.11 (for cross-correlation and interpolation), statsmodels 0.14 (for OLS regression), and pandas 2.0.</w:t>
      </w:r>
      <w:r>
        <w:rPr>
          <w:rFonts w:ascii="Times New Roman" w:hAnsi="Times New Roman"/>
          <w:b w:val="0"/>
          <w:i w:val="0"/>
          <w:sz w:val="20"/>
          <w:vertAlign w:val="superscript"/>
        </w:rPr>
        <w:t>23-25</w:t>
      </w:r>
      <w:r>
        <w:rPr>
          <w:rFonts w:ascii="Times New Roman" w:hAnsi="Times New Roman"/>
          <w:b w:val="0"/>
          <w:i w:val="0"/>
          <w:sz w:val="24"/>
        </w:rPr>
        <w:t xml:space="preserve"> Analysis code and data are available at [repository URL].</w:t>
      </w:r>
    </w:p>
    <w:p>
      <w:pPr>
        <w:pStyle w:val="Heading2"/>
      </w:pPr>
      <w:r>
        <w:rPr>
          <w:rFonts w:ascii="Times New Roman" w:hAnsi="Times New Roman"/>
          <w:color w:val="000000"/>
        </w:rPr>
        <w:t>Patient and public involvement</w:t>
      </w:r>
    </w:p>
    <w:p>
      <w:pPr>
        <w:spacing w:after="120" w:line="480" w:lineRule="auto"/>
      </w:pPr>
      <w:r>
        <w:rPr>
          <w:rFonts w:ascii="Times New Roman" w:hAnsi="Times New Roman"/>
          <w:b w:val="0"/>
          <w:i w:val="0"/>
          <w:sz w:val="24"/>
        </w:rPr>
        <w:t>No patients or members of the public were directly involved in the design, conduct, or reporting of this research. This study used exclusively publicly available, aggregated administrative data from national registries (physician workforce statistics, healthcare facility surveys, medical safety incident reports, and litigation statistics). No individual patient data were accessed. We plan to disseminate the findings through open-access publication and policy-oriented summaries to relevant professional organisations.</w:t>
      </w:r>
    </w:p>
    <w:p>
      <w:r>
        <w:br w:type="page"/>
      </w:r>
    </w:p>
    <w:p>
      <w:pPr>
        <w:pStyle w:val="Heading1"/>
      </w:pPr>
      <w:r>
        <w:rPr>
          <w:rFonts w:ascii="Times New Roman" w:hAnsi="Times New Roman"/>
          <w:color w:val="000000"/>
        </w:rPr>
        <w:t>Results</w:t>
      </w:r>
    </w:p>
    <w:p>
      <w:pPr>
        <w:pStyle w:val="Heading2"/>
      </w:pPr>
      <w:r>
        <w:rPr>
          <w:rFonts w:ascii="Times New Roman" w:hAnsi="Times New Roman"/>
          <w:color w:val="000000"/>
        </w:rPr>
        <w:t>Descriptive overview</w:t>
      </w:r>
    </w:p>
    <w:p>
      <w:pPr>
        <w:spacing w:after="120" w:line="480" w:lineRule="auto"/>
      </w:pPr>
      <w:r>
        <w:rPr>
          <w:rFonts w:ascii="Times New Roman" w:hAnsi="Times New Roman"/>
          <w:b w:val="0"/>
          <w:i w:val="0"/>
          <w:sz w:val="24"/>
        </w:rPr>
        <w:t>Over the study period, the 12 core specialties encompassed approximately 200 000 physicians and 150 000 healthcare facilities. Between 2015 and 2025, the JMSR received 3 641 reports across all specialties, with surgery (n=520), internal medicine (n=479), and orthopaedic surgery (n=310) recording the highest volumes. Medical malpractice litigation cases across the 12 specialties declined from 982 in 2004 to 534 in 2023 overall, although trends varied by specialty.</w:t>
      </w:r>
    </w:p>
    <w:p>
      <w:pPr>
        <w:spacing w:after="120" w:line="480" w:lineRule="auto"/>
      </w:pPr>
      <w:r>
        <w:rPr>
          <w:rFonts w:ascii="Times New Roman" w:hAnsi="Times New Roman"/>
          <w:b w:val="0"/>
          <w:i w:val="0"/>
          <w:sz w:val="24"/>
        </w:rPr>
        <w:t>Physician counts increased over the study period for most specialties, with notable exceptions: general surgery declined from 25 153 (2002) to approximately 14 800 (2024), and otolaryngology was essentially flat. Facility counts declined for most specialties, with general surgery showing the steepest decrease (from 22 854 in 2005 to approximately 14 000 in 2024). Conversely, plastic surgery, anaesthesiology, and dermatology showed increases in both physicians and facilities.</w:t>
      </w:r>
    </w:p>
    <w:p>
      <w:pPr>
        <w:jc w:val="center"/>
      </w:pPr>
      <w:r>
        <w:drawing>
          <wp:inline xmlns:a="http://schemas.openxmlformats.org/drawingml/2006/main" xmlns:pic="http://schemas.openxmlformats.org/drawingml/2006/picture">
            <wp:extent cx="5486400" cy="6048637"/>
            <wp:docPr id="1" name="Picture 1"/>
            <wp:cNvGraphicFramePr>
              <a:graphicFrameLocks noChangeAspect="1"/>
            </wp:cNvGraphicFramePr>
            <a:graphic>
              <a:graphicData uri="http://schemas.openxmlformats.org/drawingml/2006/picture">
                <pic:pic>
                  <pic:nvPicPr>
                    <pic:cNvPr id="0" name="accident_trends.png"/>
                    <pic:cNvPicPr/>
                  </pic:nvPicPr>
                  <pic:blipFill>
                    <a:blip r:embed="rId9"/>
                    <a:stretch>
                      <a:fillRect/>
                    </a:stretch>
                  </pic:blipFill>
                  <pic:spPr>
                    <a:xfrm>
                      <a:off x="0" y="0"/>
                      <a:ext cx="5486400" cy="6048637"/>
                    </a:xfrm>
                    <a:prstGeom prst="rect"/>
                  </pic:spPr>
                </pic:pic>
              </a:graphicData>
            </a:graphic>
          </wp:inline>
        </w:drawing>
      </w:r>
    </w:p>
    <w:p>
      <w:pPr>
        <w:spacing w:after="240" w:line="480" w:lineRule="auto"/>
        <w:jc w:val="left"/>
      </w:pPr>
      <w:r>
        <w:rPr>
          <w:rFonts w:ascii="Times New Roman" w:hAnsi="Times New Roman"/>
          <w:i/>
          <w:sz w:val="20"/>
        </w:rPr>
        <w:t>Figure 1. Trends in medical safety incident counts by specialty and definition. Panel A: JMSR mandatory reports (2015–2025). Panel B: Medical malpractice litigation (2004–2023). The five specialties with the highest incident volumes are highlighted.</w:t>
      </w:r>
    </w:p>
    <w:p>
      <w:pPr>
        <w:pStyle w:val="Heading2"/>
      </w:pPr>
      <w:r>
        <w:rPr>
          <w:rFonts w:ascii="Times New Roman" w:hAnsi="Times New Roman"/>
          <w:color w:val="000000"/>
        </w:rPr>
        <w:t>Cross-correlation analysis: lead time estimates</w:t>
      </w:r>
    </w:p>
    <w:p>
      <w:pPr>
        <w:spacing w:after="120" w:line="480" w:lineRule="auto"/>
      </w:pPr>
      <w:r>
        <w:rPr>
          <w:rFonts w:ascii="Times New Roman" w:hAnsi="Times New Roman"/>
          <w:b w:val="0"/>
          <w:i w:val="0"/>
          <w:sz w:val="24"/>
        </w:rPr>
        <w:t>Table 1 presents the cross-correlation results for the specialty-definition-outcome combinations with the strongest inverse associations (|r| &gt; 0.9). The complete set of cross-correlation coefficients at optimal lag for all combinations is provided in supplementary table S3. Figure 2 shows the full cross-correlation function plots at lags −8 to +8 years for all 12 specialties.</w:t>
      </w:r>
    </w:p>
    <w:p>
      <w:pPr>
        <w:spacing w:after="120" w:line="480" w:lineRule="auto"/>
      </w:pPr>
      <w:r>
        <w:rPr>
          <w:rFonts w:ascii="Times New Roman" w:hAnsi="Times New Roman"/>
          <w:b/>
          <w:sz w:val="20"/>
        </w:rPr>
        <w:t>Table 1. Specialty-definition-outcome combinations with strong inverse cross-correlations (|r| &gt; 0.9) after linear detrending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sz w:val="18"/>
              </w:rPr>
              <w:t>Specialty</w:t>
            </w:r>
          </w:p>
        </w:tc>
        <w:tc>
          <w:tcPr>
            <w:tcW w:type="dxa" w:w="1872"/>
          </w:tcPr>
          <w:p>
            <w:pPr>
              <w:jc w:val="center"/>
            </w:pPr>
            <w:r/>
            <w:r>
              <w:rPr>
                <w:rFonts w:ascii="Times New Roman" w:hAnsi="Times New Roman"/>
                <w:b/>
                <w:sz w:val="18"/>
              </w:rPr>
              <w:t>Incident definition</w:t>
            </w:r>
          </w:p>
        </w:tc>
        <w:tc>
          <w:tcPr>
            <w:tcW w:type="dxa" w:w="1872"/>
          </w:tcPr>
          <w:p>
            <w:pPr>
              <w:jc w:val="center"/>
            </w:pPr>
            <w:r/>
            <w:r>
              <w:rPr>
                <w:rFonts w:ascii="Times New Roman" w:hAnsi="Times New Roman"/>
                <w:b/>
                <w:sz w:val="18"/>
              </w:rPr>
              <w:t>Outcome</w:t>
            </w:r>
          </w:p>
        </w:tc>
        <w:tc>
          <w:tcPr>
            <w:tcW w:type="dxa" w:w="1872"/>
          </w:tcPr>
          <w:p>
            <w:pPr>
              <w:jc w:val="center"/>
            </w:pPr>
            <w:r/>
            <w:r>
              <w:rPr>
                <w:rFonts w:ascii="Times New Roman" w:hAnsi="Times New Roman"/>
                <w:b/>
                <w:sz w:val="18"/>
              </w:rPr>
              <w:t>Lag (years)</w:t>
            </w:r>
          </w:p>
        </w:tc>
        <w:tc>
          <w:tcPr>
            <w:tcW w:type="dxa" w:w="1872"/>
          </w:tcPr>
          <w:p>
            <w:pPr>
              <w:jc w:val="center"/>
            </w:pPr>
            <w:r/>
            <w:r>
              <w:rPr>
                <w:rFonts w:ascii="Times New Roman" w:hAnsi="Times New Roman"/>
                <w:b/>
                <w:sz w:val="18"/>
              </w:rPr>
              <w:t>Correlation (r)</w:t>
            </w:r>
          </w:p>
        </w:tc>
      </w:tr>
      <w:tr>
        <w:tc>
          <w:tcPr>
            <w:tcW w:type="dxa" w:w="1872"/>
          </w:tcPr>
          <w:p>
            <w:r/>
            <w:r>
              <w:rPr>
                <w:rFonts w:ascii="Times New Roman" w:hAnsi="Times New Roman"/>
                <w:sz w:val="18"/>
              </w:rPr>
              <w:t>Obstetrics &amp; gynaecology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−0.946</w:t>
            </w:r>
          </w:p>
        </w:tc>
      </w:tr>
      <w:tr>
        <w:tc>
          <w:tcPr>
            <w:tcW w:type="dxa" w:w="1872"/>
          </w:tcPr>
          <w:p>
            <w:r/>
            <w:r>
              <w:rPr>
                <w:rFonts w:ascii="Times New Roman" w:hAnsi="Times New Roman"/>
                <w:sz w:val="18"/>
              </w:rPr>
              <w:t>Obstetrics &amp; gynaecology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−0.947</w:t>
            </w:r>
          </w:p>
        </w:tc>
      </w:tr>
      <w:tr>
        <w:tc>
          <w:tcPr>
            <w:tcW w:type="dxa" w:w="1872"/>
          </w:tcPr>
          <w:p>
            <w:r/>
            <w:r>
              <w:rPr>
                <w:rFonts w:ascii="Times New Roman" w:hAnsi="Times New Roman"/>
                <w:sz w:val="18"/>
              </w:rPr>
              <w:t>Urology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−0.945</w:t>
            </w:r>
          </w:p>
        </w:tc>
      </w:tr>
      <w:tr>
        <w:tc>
          <w:tcPr>
            <w:tcW w:type="dxa" w:w="1872"/>
          </w:tcPr>
          <w:p>
            <w:r/>
            <w:r>
              <w:rPr>
                <w:rFonts w:ascii="Times New Roman" w:hAnsi="Times New Roman"/>
                <w:sz w:val="18"/>
              </w:rPr>
              <w:t>Anaesthesiology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−4</w:t>
            </w:r>
          </w:p>
        </w:tc>
        <w:tc>
          <w:tcPr>
            <w:tcW w:type="dxa" w:w="1872"/>
          </w:tcPr>
          <w:p>
            <w:pPr>
              <w:jc w:val="center"/>
            </w:pPr>
            <w:r/>
            <w:r>
              <w:rPr>
                <w:rFonts w:ascii="Times New Roman" w:hAnsi="Times New Roman"/>
                <w:sz w:val="18"/>
              </w:rPr>
              <w:t>−0.959</w:t>
            </w:r>
          </w:p>
        </w:tc>
      </w:tr>
      <w:tr>
        <w:tc>
          <w:tcPr>
            <w:tcW w:type="dxa" w:w="1872"/>
          </w:tcPr>
          <w:p>
            <w:r/>
            <w:r>
              <w:rPr>
                <w:rFonts w:ascii="Times New Roman" w:hAnsi="Times New Roman"/>
                <w:sz w:val="18"/>
              </w:rPr>
              <w:t>Otolaryngology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−0.973</w:t>
            </w:r>
          </w:p>
        </w:tc>
      </w:tr>
      <w:tr>
        <w:tc>
          <w:tcPr>
            <w:tcW w:type="dxa" w:w="1872"/>
          </w:tcPr>
          <w:p>
            <w:r/>
            <w:r>
              <w:rPr>
                <w:rFonts w:ascii="Times New Roman" w:hAnsi="Times New Roman"/>
                <w:sz w:val="18"/>
              </w:rPr>
              <w:t>Dermatology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+7</w:t>
            </w:r>
          </w:p>
        </w:tc>
        <w:tc>
          <w:tcPr>
            <w:tcW w:type="dxa" w:w="1872"/>
          </w:tcPr>
          <w:p>
            <w:pPr>
              <w:jc w:val="center"/>
            </w:pPr>
            <w:r/>
            <w:r>
              <w:rPr>
                <w:rFonts w:ascii="Times New Roman" w:hAnsi="Times New Roman"/>
                <w:sz w:val="18"/>
              </w:rPr>
              <w:t>−0.988</w:t>
            </w:r>
          </w:p>
        </w:tc>
      </w:tr>
      <w:tr>
        <w:tc>
          <w:tcPr>
            <w:tcW w:type="dxa" w:w="1872"/>
          </w:tcPr>
          <w:p>
            <w:r/>
            <w:r>
              <w:rPr>
                <w:rFonts w:ascii="Times New Roman" w:hAnsi="Times New Roman"/>
                <w:sz w:val="18"/>
              </w:rPr>
              <w:t>Orthopaedic surgery</w:t>
            </w:r>
          </w:p>
        </w:tc>
        <w:tc>
          <w:tcPr>
            <w:tcW w:type="dxa" w:w="1872"/>
          </w:tcPr>
          <w:p>
            <w:pPr>
              <w:jc w:val="center"/>
            </w:pPr>
            <w:r/>
            <w:r>
              <w:rPr>
                <w:rFonts w:ascii="Times New Roman" w:hAnsi="Times New Roman"/>
                <w:sz w:val="18"/>
              </w:rPr>
              <w:t>JMSR (trainee)</w:t>
            </w:r>
          </w:p>
        </w:tc>
        <w:tc>
          <w:tcPr>
            <w:tcW w:type="dxa" w:w="1872"/>
          </w:tcPr>
          <w:p>
            <w:pPr>
              <w:jc w:val="center"/>
            </w:pPr>
            <w:r/>
            <w:r>
              <w:rPr>
                <w:rFonts w:ascii="Times New Roman" w:hAnsi="Times New Roman"/>
                <w:sz w:val="18"/>
              </w:rPr>
              <w:t>Trainees</w:t>
            </w:r>
          </w:p>
        </w:tc>
        <w:tc>
          <w:tcPr>
            <w:tcW w:type="dxa" w:w="1872"/>
          </w:tcPr>
          <w:p>
            <w:pPr>
              <w:jc w:val="center"/>
            </w:pPr>
            <w:r/>
            <w:r>
              <w:rPr>
                <w:rFonts w:ascii="Times New Roman" w:hAnsi="Times New Roman"/>
                <w:sz w:val="18"/>
              </w:rPr>
              <w:t>+4</w:t>
            </w:r>
          </w:p>
        </w:tc>
        <w:tc>
          <w:tcPr>
            <w:tcW w:type="dxa" w:w="1872"/>
          </w:tcPr>
          <w:p>
            <w:pPr>
              <w:jc w:val="center"/>
            </w:pPr>
            <w:r/>
            <w:r>
              <w:rPr>
                <w:rFonts w:ascii="Times New Roman" w:hAnsi="Times New Roman"/>
                <w:sz w:val="18"/>
              </w:rPr>
              <w:t>−0.909</w:t>
            </w:r>
          </w:p>
        </w:tc>
      </w:tr>
      <w:tr>
        <w:tc>
          <w:tcPr>
            <w:tcW w:type="dxa" w:w="1872"/>
          </w:tcPr>
          <w:p>
            <w:r/>
            <w:r>
              <w:rPr>
                <w:rFonts w:ascii="Times New Roman" w:hAnsi="Times New Roman"/>
                <w:sz w:val="18"/>
              </w:rPr>
              <w:t>Otolaryngology</w:t>
            </w:r>
          </w:p>
        </w:tc>
        <w:tc>
          <w:tcPr>
            <w:tcW w:type="dxa" w:w="1872"/>
          </w:tcPr>
          <w:p>
            <w:pPr>
              <w:jc w:val="center"/>
            </w:pPr>
            <w:r/>
            <w:r>
              <w:rPr>
                <w:rFonts w:ascii="Times New Roman" w:hAnsi="Times New Roman"/>
                <w:sz w:val="18"/>
              </w:rPr>
              <w:t>JMSR (trainee)</w:t>
            </w:r>
          </w:p>
        </w:tc>
        <w:tc>
          <w:tcPr>
            <w:tcW w:type="dxa" w:w="1872"/>
          </w:tcPr>
          <w:p>
            <w:pPr>
              <w:jc w:val="center"/>
            </w:pPr>
            <w:r/>
            <w:r>
              <w:rPr>
                <w:rFonts w:ascii="Times New Roman" w:hAnsi="Times New Roman"/>
                <w:sz w:val="18"/>
              </w:rPr>
              <w:t>Trainees</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−0.941</w:t>
            </w:r>
          </w:p>
        </w:tc>
      </w:tr>
      <w:tr>
        <w:tc>
          <w:tcPr>
            <w:tcW w:type="dxa" w:w="1872"/>
          </w:tcPr>
          <w:p>
            <w:r/>
            <w:r>
              <w:rPr>
                <w:rFonts w:ascii="Times New Roman" w:hAnsi="Times New Roman"/>
                <w:sz w:val="18"/>
              </w:rPr>
              <w:t>Psychiatry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−0.981</w:t>
            </w:r>
          </w:p>
        </w:tc>
      </w:tr>
      <w:tr>
        <w:tc>
          <w:tcPr>
            <w:tcW w:type="dxa" w:w="1872"/>
          </w:tcPr>
          <w:p>
            <w:r/>
            <w:r>
              <w:rPr>
                <w:rFonts w:ascii="Times New Roman" w:hAnsi="Times New Roman"/>
                <w:sz w:val="18"/>
              </w:rPr>
              <w:t>Dermatology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−0.969</w:t>
            </w:r>
          </w:p>
        </w:tc>
      </w:tr>
    </w:tbl>
    <w:p/>
    <w:p>
      <w:pPr>
        <w:jc w:val="center"/>
      </w:pPr>
      <w:r>
        <w:drawing>
          <wp:inline xmlns:a="http://schemas.openxmlformats.org/drawingml/2006/main" xmlns:pic="http://schemas.openxmlformats.org/drawingml/2006/picture">
            <wp:extent cx="5943600" cy="6885012"/>
            <wp:docPr id="2" name="Picture 2"/>
            <wp:cNvGraphicFramePr>
              <a:graphicFrameLocks noChangeAspect="1"/>
            </wp:cNvGraphicFramePr>
            <a:graphic>
              <a:graphicData uri="http://schemas.openxmlformats.org/drawingml/2006/picture">
                <pic:pic>
                  <pic:nvPicPr>
                    <pic:cNvPr id="0" name="ccf_plots.png"/>
                    <pic:cNvPicPr/>
                  </pic:nvPicPr>
                  <pic:blipFill>
                    <a:blip r:embed="rId10"/>
                    <a:stretch>
                      <a:fillRect/>
                    </a:stretch>
                  </pic:blipFill>
                  <pic:spPr>
                    <a:xfrm>
                      <a:off x="0" y="0"/>
                      <a:ext cx="5943600" cy="6885012"/>
                    </a:xfrm>
                    <a:prstGeom prst="rect"/>
                  </pic:spPr>
                </pic:pic>
              </a:graphicData>
            </a:graphic>
          </wp:inline>
        </w:drawing>
      </w:r>
    </w:p>
    <w:p>
      <w:pPr>
        <w:spacing w:after="240" w:line="480" w:lineRule="auto"/>
        <w:jc w:val="left"/>
      </w:pPr>
      <w:r>
        <w:rPr>
          <w:rFonts w:ascii="Times New Roman" w:hAnsi="Times New Roman"/>
          <w:i/>
          <w:sz w:val="20"/>
        </w:rPr>
        <w:t>Figure 2. Cross-correlation functions between incident counts (JMSR, litigation, and composite) and physician numbers (detrended) at lags −8 to +8 years for the 12 core specialties. Squares indicate the lag with the most negative correlation for each definition. Positive lags indicate that changes in incident counts precede changes in physician numbers.</w:t>
      </w:r>
    </w:p>
    <w:p>
      <w:pPr>
        <w:spacing w:after="120" w:line="480" w:lineRule="auto"/>
      </w:pPr>
      <w:r>
        <w:rPr>
          <w:rFonts w:ascii="Times New Roman" w:hAnsi="Times New Roman"/>
          <w:b w:val="0"/>
          <w:i w:val="0"/>
          <w:sz w:val="24"/>
        </w:rPr>
        <w:t>Obstetrics and gynaecology consistently demonstrated the strongest inverse association with physician counts across all three incident definitions (r = −0.946 to −0.947), with an estimated lead time of 3 years. Among all specialties, the mean lead time for physician count effects was 1.3 years (median 2.5 years); for facility counts, the mean was approximately 0 years (median 0 years), suggesting near-contemporaneous facility effects.</w:t>
      </w:r>
    </w:p>
    <w:p>
      <w:pPr>
        <w:spacing w:after="120" w:line="480" w:lineRule="auto"/>
      </w:pPr>
      <w:r>
        <w:rPr>
          <w:rFonts w:ascii="Times New Roman" w:hAnsi="Times New Roman"/>
          <w:b w:val="0"/>
          <w:i w:val="0"/>
          <w:sz w:val="24"/>
        </w:rPr>
        <w:t>Notably, several specialty-definition combinations yielded negative lag values, indicating that workforce changes preceded changes in incident reporting. Anaesthesiology showed a lag of −4 years against the composite incident definition (r = −0.959), and otolaryngology trainees showed a lag of −3 years against JMSR reports (r = −0.941). These negative lags raise the possibility of reverse causality: rather than safety incidents driving workforce decline, workforce shortages in these specialties may have preceded and contributed to increased incident reporting (see Discussion).</w:t>
      </w:r>
    </w:p>
    <w:p>
      <w:pPr>
        <w:pStyle w:val="Heading2"/>
      </w:pPr>
      <w:r>
        <w:rPr>
          <w:rFonts w:ascii="Times New Roman" w:hAnsi="Times New Roman"/>
          <w:color w:val="000000"/>
        </w:rPr>
        <w:t>Segmented regression results</w:t>
      </w:r>
    </w:p>
    <w:p>
      <w:pPr>
        <w:spacing w:after="120" w:line="480" w:lineRule="auto"/>
      </w:pPr>
      <w:r>
        <w:rPr>
          <w:rFonts w:ascii="Times New Roman" w:hAnsi="Times New Roman"/>
          <w:b w:val="0"/>
          <w:i w:val="0"/>
          <w:sz w:val="24"/>
        </w:rPr>
        <w:t>A total of 72 ITS segmented regression models were fitted across the three definitions. The median model R² was 0.997, reflecting the strong secular trends in both incident and outcome data. Full results for all 72 models are provided in supplementary table S2. The ITS plots for physician counts under Definition 1 (JMSR) and Definition 2 (litigation) are shown in figures 3 and 4, respectively.</w:t>
      </w:r>
    </w:p>
    <w:p>
      <w:pPr>
        <w:jc w:val="center"/>
      </w:pPr>
      <w:r>
        <w:drawing>
          <wp:inline xmlns:a="http://schemas.openxmlformats.org/drawingml/2006/main" xmlns:pic="http://schemas.openxmlformats.org/drawingml/2006/picture">
            <wp:extent cx="5486400" cy="7147943"/>
            <wp:docPr id="3" name="Picture 3"/>
            <wp:cNvGraphicFramePr>
              <a:graphicFrameLocks noChangeAspect="1"/>
            </wp:cNvGraphicFramePr>
            <a:graphic>
              <a:graphicData uri="http://schemas.openxmlformats.org/drawingml/2006/picture">
                <pic:pic>
                  <pic:nvPicPr>
                    <pic:cNvPr id="0" name="its_physicians_def1.png"/>
                    <pic:cNvPicPr/>
                  </pic:nvPicPr>
                  <pic:blipFill>
                    <a:blip r:embed="rId11"/>
                    <a:stretch>
                      <a:fillRect/>
                    </a:stretch>
                  </pic:blipFill>
                  <pic:spPr>
                    <a:xfrm>
                      <a:off x="0" y="0"/>
                      <a:ext cx="5486400" cy="7147943"/>
                    </a:xfrm>
                    <a:prstGeom prst="rect"/>
                  </pic:spPr>
                </pic:pic>
              </a:graphicData>
            </a:graphic>
          </wp:inline>
        </w:drawing>
      </w:r>
    </w:p>
    <w:p>
      <w:pPr>
        <w:spacing w:after="240" w:line="480" w:lineRule="auto"/>
        <w:jc w:val="left"/>
      </w:pPr>
      <w:r>
        <w:rPr>
          <w:rFonts w:ascii="Times New Roman" w:hAnsi="Times New Roman"/>
          <w:i/>
          <w:sz w:val="20"/>
        </w:rPr>
        <w:t>Figure 3. Interrupted time series plots for physician counts against JMSR incident reports (Definition 1) for the 12 core specialties. Fitted segmented regression lines are shown with the vertical dashed line indicating the intervention year (year of peak incident reporting).</w:t>
      </w:r>
    </w:p>
    <w:p>
      <w:pPr>
        <w:jc w:val="center"/>
      </w:pPr>
      <w:r>
        <w:drawing>
          <wp:inline xmlns:a="http://schemas.openxmlformats.org/drawingml/2006/main" xmlns:pic="http://schemas.openxmlformats.org/drawingml/2006/picture">
            <wp:extent cx="5486400" cy="7147943"/>
            <wp:docPr id="4" name="Picture 4"/>
            <wp:cNvGraphicFramePr>
              <a:graphicFrameLocks noChangeAspect="1"/>
            </wp:cNvGraphicFramePr>
            <a:graphic>
              <a:graphicData uri="http://schemas.openxmlformats.org/drawingml/2006/picture">
                <pic:pic>
                  <pic:nvPicPr>
                    <pic:cNvPr id="0" name="its_physicians_def2.png"/>
                    <pic:cNvPicPr/>
                  </pic:nvPicPr>
                  <pic:blipFill>
                    <a:blip r:embed="rId12"/>
                    <a:stretch>
                      <a:fillRect/>
                    </a:stretch>
                  </pic:blipFill>
                  <pic:spPr>
                    <a:xfrm>
                      <a:off x="0" y="0"/>
                      <a:ext cx="5486400" cy="7147943"/>
                    </a:xfrm>
                    <a:prstGeom prst="rect"/>
                  </pic:spPr>
                </pic:pic>
              </a:graphicData>
            </a:graphic>
          </wp:inline>
        </w:drawing>
      </w:r>
    </w:p>
    <w:p>
      <w:pPr>
        <w:spacing w:after="240" w:line="480" w:lineRule="auto"/>
        <w:jc w:val="left"/>
      </w:pPr>
      <w:r>
        <w:rPr>
          <w:rFonts w:ascii="Times New Roman" w:hAnsi="Times New Roman"/>
          <w:i/>
          <w:sz w:val="20"/>
        </w:rPr>
        <w:t>Figure 4. Interrupted time series plots for physician counts against medical malpractice litigation statistics (Definition 2) for the 12 core specialties. Panels marked [R] denote specialties where litigation peaked in the first available year (2004), necessitating a reduced model (trend + accident effect only, without intervention level change or slope change terms) owing to insufficient pre-intervention data. Fitted regression lines are shown with the vertical dashed line indicating the intervention year.</w:t>
      </w:r>
    </w:p>
    <w:p>
      <w:pPr>
        <w:spacing w:after="120" w:line="480" w:lineRule="auto"/>
      </w:pPr>
      <w:r>
        <w:rPr>
          <w:rFonts w:ascii="Times New Roman" w:hAnsi="Times New Roman"/>
          <w:b w:val="0"/>
          <w:i w:val="0"/>
          <w:sz w:val="24"/>
        </w:rPr>
        <w:t>Table 2 presents the statistically significant (P&lt;0.05) incident effect coefficients from the segmented regression models.</w:t>
      </w:r>
    </w:p>
    <w:p>
      <w:pPr>
        <w:spacing w:after="120" w:line="480" w:lineRule="auto"/>
      </w:pPr>
      <w:r>
        <w:rPr>
          <w:rFonts w:ascii="Times New Roman" w:hAnsi="Times New Roman"/>
          <w:b/>
          <w:sz w:val="20"/>
        </w:rPr>
        <w:t>Table 2. Statistically significant (P&lt;0.05) incident effect coefficients from ITS segmented regression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
              <w:rPr>
                <w:rFonts w:ascii="Times New Roman" w:hAnsi="Times New Roman"/>
                <w:b/>
                <w:sz w:val="18"/>
              </w:rPr>
              <w:t>Specialty</w:t>
            </w:r>
          </w:p>
        </w:tc>
        <w:tc>
          <w:tcPr>
            <w:tcW w:type="dxa" w:w="1560"/>
          </w:tcPr>
          <w:p>
            <w:pPr>
              <w:jc w:val="center"/>
            </w:pPr>
            <w:r/>
            <w:r>
              <w:rPr>
                <w:rFonts w:ascii="Times New Roman" w:hAnsi="Times New Roman"/>
                <w:b/>
                <w:sz w:val="18"/>
              </w:rPr>
              <w:t>Definition</w:t>
            </w:r>
          </w:p>
        </w:tc>
        <w:tc>
          <w:tcPr>
            <w:tcW w:type="dxa" w:w="1560"/>
          </w:tcPr>
          <w:p>
            <w:pPr>
              <w:jc w:val="center"/>
            </w:pPr>
            <w:r/>
            <w:r>
              <w:rPr>
                <w:rFonts w:ascii="Times New Roman" w:hAnsi="Times New Roman"/>
                <w:b/>
                <w:sz w:val="18"/>
              </w:rPr>
              <w:t>Outcome</w:t>
            </w:r>
          </w:p>
        </w:tc>
        <w:tc>
          <w:tcPr>
            <w:tcW w:type="dxa" w:w="1560"/>
          </w:tcPr>
          <w:p>
            <w:pPr>
              <w:jc w:val="center"/>
            </w:pPr>
            <w:r/>
            <w:r>
              <w:rPr>
                <w:rFonts w:ascii="Times New Roman" w:hAnsi="Times New Roman"/>
                <w:b/>
                <w:sz w:val="18"/>
              </w:rPr>
              <w:t>R²</w:t>
            </w:r>
          </w:p>
        </w:tc>
        <w:tc>
          <w:tcPr>
            <w:tcW w:type="dxa" w:w="1560"/>
          </w:tcPr>
          <w:p>
            <w:pPr>
              <w:jc w:val="center"/>
            </w:pPr>
            <w:r/>
            <w:r>
              <w:rPr>
                <w:rFonts w:ascii="Times New Roman" w:hAnsi="Times New Roman"/>
                <w:b/>
                <w:sz w:val="18"/>
              </w:rPr>
              <w:t>Incident effect coefficient</w:t>
            </w:r>
          </w:p>
        </w:tc>
        <w:tc>
          <w:tcPr>
            <w:tcW w:type="dxa" w:w="1560"/>
          </w:tcPr>
          <w:p>
            <w:pPr>
              <w:jc w:val="center"/>
            </w:pPr>
            <w:r/>
            <w:r>
              <w:rPr>
                <w:rFonts w:ascii="Times New Roman" w:hAnsi="Times New Roman"/>
                <w:b/>
                <w:sz w:val="18"/>
              </w:rPr>
              <w:t>P value</w:t>
            </w:r>
          </w:p>
        </w:tc>
      </w:tr>
      <w:tr>
        <w:tc>
          <w:tcPr>
            <w:tcW w:type="dxa" w:w="1560"/>
          </w:tcPr>
          <w:p>
            <w:r/>
            <w:r>
              <w:rPr>
                <w:rFonts w:ascii="Times New Roman" w:hAnsi="Times New Roman"/>
                <w:sz w:val="18"/>
              </w:rPr>
              <w:t>General surgery</w:t>
            </w:r>
          </w:p>
        </w:tc>
        <w:tc>
          <w:tcPr>
            <w:tcW w:type="dxa" w:w="1560"/>
          </w:tcPr>
          <w:p>
            <w:pPr>
              <w:jc w:val="center"/>
            </w:pPr>
            <w:r/>
            <w:r>
              <w:rPr>
                <w:rFonts w:ascii="Times New Roman" w:hAnsi="Times New Roman"/>
                <w:sz w:val="18"/>
              </w:rPr>
              <w:t>Litigation</w:t>
            </w:r>
          </w:p>
        </w:tc>
        <w:tc>
          <w:tcPr>
            <w:tcW w:type="dxa" w:w="1560"/>
          </w:tcPr>
          <w:p>
            <w:pPr>
              <w:jc w:val="center"/>
            </w:pPr>
            <w:r/>
            <w:r>
              <w:rPr>
                <w:rFonts w:ascii="Times New Roman" w:hAnsi="Times New Roman"/>
                <w:sz w:val="18"/>
              </w:rPr>
              <w:t>Physicians</w:t>
            </w:r>
          </w:p>
        </w:tc>
        <w:tc>
          <w:tcPr>
            <w:tcW w:type="dxa" w:w="1560"/>
          </w:tcPr>
          <w:p>
            <w:pPr>
              <w:jc w:val="center"/>
            </w:pPr>
            <w:r/>
            <w:r>
              <w:rPr>
                <w:rFonts w:ascii="Times New Roman" w:hAnsi="Times New Roman"/>
                <w:sz w:val="18"/>
              </w:rPr>
              <w:t>0.994</w:t>
            </w:r>
          </w:p>
        </w:tc>
        <w:tc>
          <w:tcPr>
            <w:tcW w:type="dxa" w:w="1560"/>
          </w:tcPr>
          <w:p>
            <w:pPr>
              <w:jc w:val="center"/>
            </w:pPr>
            <w:r/>
            <w:r>
              <w:rPr>
                <w:rFonts w:ascii="Times New Roman" w:hAnsi="Times New Roman"/>
                <w:sz w:val="18"/>
              </w:rPr>
              <w:t>+19.3 per case</w:t>
            </w:r>
          </w:p>
        </w:tc>
        <w:tc>
          <w:tcPr>
            <w:tcW w:type="dxa" w:w="1560"/>
          </w:tcPr>
          <w:p>
            <w:pPr>
              <w:jc w:val="center"/>
            </w:pPr>
            <w:r/>
            <w:r>
              <w:rPr>
                <w:rFonts w:ascii="Times New Roman" w:hAnsi="Times New Roman"/>
                <w:sz w:val="18"/>
              </w:rPr>
              <w:t>&lt;0.001</w:t>
            </w:r>
          </w:p>
        </w:tc>
      </w:tr>
      <w:tr>
        <w:tc>
          <w:tcPr>
            <w:tcW w:type="dxa" w:w="1560"/>
          </w:tcPr>
          <w:p>
            <w:r/>
            <w:r>
              <w:rPr>
                <w:rFonts w:ascii="Times New Roman" w:hAnsi="Times New Roman"/>
                <w:sz w:val="18"/>
              </w:rPr>
              <w:t>Obstetrics &amp; gynaecology</w:t>
            </w:r>
          </w:p>
        </w:tc>
        <w:tc>
          <w:tcPr>
            <w:tcW w:type="dxa" w:w="1560"/>
          </w:tcPr>
          <w:p>
            <w:pPr>
              <w:jc w:val="center"/>
            </w:pPr>
            <w:r/>
            <w:r>
              <w:rPr>
                <w:rFonts w:ascii="Times New Roman" w:hAnsi="Times New Roman"/>
                <w:sz w:val="18"/>
              </w:rPr>
              <w:t>JMSR</w:t>
            </w:r>
          </w:p>
        </w:tc>
        <w:tc>
          <w:tcPr>
            <w:tcW w:type="dxa" w:w="1560"/>
          </w:tcPr>
          <w:p>
            <w:pPr>
              <w:jc w:val="center"/>
            </w:pPr>
            <w:r/>
            <w:r>
              <w:rPr>
                <w:rFonts w:ascii="Times New Roman" w:hAnsi="Times New Roman"/>
                <w:sz w:val="18"/>
              </w:rPr>
              <w:t>Physicians</w:t>
            </w:r>
          </w:p>
        </w:tc>
        <w:tc>
          <w:tcPr>
            <w:tcW w:type="dxa" w:w="1560"/>
          </w:tcPr>
          <w:p>
            <w:pPr>
              <w:jc w:val="center"/>
            </w:pPr>
            <w:r/>
            <w:r>
              <w:rPr>
                <w:rFonts w:ascii="Times New Roman" w:hAnsi="Times New Roman"/>
                <w:sz w:val="18"/>
              </w:rPr>
              <w:t>0.995</w:t>
            </w:r>
          </w:p>
        </w:tc>
        <w:tc>
          <w:tcPr>
            <w:tcW w:type="dxa" w:w="1560"/>
          </w:tcPr>
          <w:p>
            <w:pPr>
              <w:jc w:val="center"/>
            </w:pPr>
            <w:r/>
            <w:r>
              <w:rPr>
                <w:rFonts w:ascii="Times New Roman" w:hAnsi="Times New Roman"/>
                <w:sz w:val="18"/>
              </w:rPr>
              <w:t>+17.7 per report</w:t>
            </w:r>
          </w:p>
        </w:tc>
        <w:tc>
          <w:tcPr>
            <w:tcW w:type="dxa" w:w="1560"/>
          </w:tcPr>
          <w:p>
            <w:pPr>
              <w:jc w:val="center"/>
            </w:pPr>
            <w:r/>
            <w:r>
              <w:rPr>
                <w:rFonts w:ascii="Times New Roman" w:hAnsi="Times New Roman"/>
                <w:sz w:val="18"/>
              </w:rPr>
              <w:t>0.021</w:t>
            </w:r>
          </w:p>
        </w:tc>
      </w:tr>
      <w:tr>
        <w:tc>
          <w:tcPr>
            <w:tcW w:type="dxa" w:w="1560"/>
          </w:tcPr>
          <w:p>
            <w:r/>
            <w:r>
              <w:rPr>
                <w:rFonts w:ascii="Times New Roman" w:hAnsi="Times New Roman"/>
                <w:sz w:val="18"/>
              </w:rPr>
              <w:t>Obstetrics &amp; gynaecology</w:t>
            </w:r>
          </w:p>
        </w:tc>
        <w:tc>
          <w:tcPr>
            <w:tcW w:type="dxa" w:w="1560"/>
          </w:tcPr>
          <w:p>
            <w:pPr>
              <w:jc w:val="center"/>
            </w:pPr>
            <w:r/>
            <w:r>
              <w:rPr>
                <w:rFonts w:ascii="Times New Roman" w:hAnsi="Times New Roman"/>
                <w:sz w:val="18"/>
              </w:rPr>
              <w:t>Litigation</w:t>
            </w:r>
          </w:p>
        </w:tc>
        <w:tc>
          <w:tcPr>
            <w:tcW w:type="dxa" w:w="1560"/>
          </w:tcPr>
          <w:p>
            <w:pPr>
              <w:jc w:val="center"/>
            </w:pPr>
            <w:r/>
            <w:r>
              <w:rPr>
                <w:rFonts w:ascii="Times New Roman" w:hAnsi="Times New Roman"/>
                <w:sz w:val="18"/>
              </w:rPr>
              <w:t>Physicians</w:t>
            </w:r>
          </w:p>
        </w:tc>
        <w:tc>
          <w:tcPr>
            <w:tcW w:type="dxa" w:w="1560"/>
          </w:tcPr>
          <w:p>
            <w:pPr>
              <w:jc w:val="center"/>
            </w:pPr>
            <w:r/>
            <w:r>
              <w:rPr>
                <w:rFonts w:ascii="Times New Roman" w:hAnsi="Times New Roman"/>
                <w:sz w:val="18"/>
              </w:rPr>
              <w:t>0.977</w:t>
            </w:r>
          </w:p>
        </w:tc>
        <w:tc>
          <w:tcPr>
            <w:tcW w:type="dxa" w:w="1560"/>
          </w:tcPr>
          <w:p>
            <w:pPr>
              <w:jc w:val="center"/>
            </w:pPr>
            <w:r/>
            <w:r>
              <w:rPr>
                <w:rFonts w:ascii="Times New Roman" w:hAnsi="Times New Roman"/>
                <w:sz w:val="18"/>
              </w:rPr>
              <w:t>+11.6 per case</w:t>
            </w:r>
          </w:p>
        </w:tc>
        <w:tc>
          <w:tcPr>
            <w:tcW w:type="dxa" w:w="1560"/>
          </w:tcPr>
          <w:p>
            <w:pPr>
              <w:jc w:val="center"/>
            </w:pPr>
            <w:r/>
            <w:r>
              <w:rPr>
                <w:rFonts w:ascii="Times New Roman" w:hAnsi="Times New Roman"/>
                <w:sz w:val="18"/>
              </w:rPr>
              <w:t>&lt;0.001</w:t>
            </w:r>
          </w:p>
        </w:tc>
      </w:tr>
      <w:tr>
        <w:tc>
          <w:tcPr>
            <w:tcW w:type="dxa" w:w="1560"/>
          </w:tcPr>
          <w:p>
            <w:r/>
            <w:r>
              <w:rPr>
                <w:rFonts w:ascii="Times New Roman" w:hAnsi="Times New Roman"/>
                <w:sz w:val="18"/>
              </w:rPr>
              <w:t>Obstetrics &amp; gynaecology</w:t>
            </w:r>
          </w:p>
        </w:tc>
        <w:tc>
          <w:tcPr>
            <w:tcW w:type="dxa" w:w="1560"/>
          </w:tcPr>
          <w:p>
            <w:pPr>
              <w:jc w:val="center"/>
            </w:pPr>
            <w:r/>
            <w:r>
              <w:rPr>
                <w:rFonts w:ascii="Times New Roman" w:hAnsi="Times New Roman"/>
                <w:sz w:val="18"/>
              </w:rPr>
              <w:t>JMSR</w:t>
            </w:r>
          </w:p>
        </w:tc>
        <w:tc>
          <w:tcPr>
            <w:tcW w:type="dxa" w:w="1560"/>
          </w:tcPr>
          <w:p>
            <w:pPr>
              <w:jc w:val="center"/>
            </w:pPr>
            <w:r/>
            <w:r>
              <w:rPr>
                <w:rFonts w:ascii="Times New Roman" w:hAnsi="Times New Roman"/>
                <w:sz w:val="18"/>
              </w:rPr>
              <w:t>Facilities</w:t>
            </w:r>
          </w:p>
        </w:tc>
        <w:tc>
          <w:tcPr>
            <w:tcW w:type="dxa" w:w="1560"/>
          </w:tcPr>
          <w:p>
            <w:pPr>
              <w:jc w:val="center"/>
            </w:pPr>
            <w:r/>
            <w:r>
              <w:rPr>
                <w:rFonts w:ascii="Times New Roman" w:hAnsi="Times New Roman"/>
                <w:sz w:val="18"/>
              </w:rPr>
              <w:t>0.999</w:t>
            </w:r>
          </w:p>
        </w:tc>
        <w:tc>
          <w:tcPr>
            <w:tcW w:type="dxa" w:w="1560"/>
          </w:tcPr>
          <w:p>
            <w:pPr>
              <w:jc w:val="center"/>
            </w:pPr>
            <w:r/>
            <w:r>
              <w:rPr>
                <w:rFonts w:ascii="Times New Roman" w:hAnsi="Times New Roman"/>
                <w:sz w:val="18"/>
              </w:rPr>
              <w:t>+4.3 per report</w:t>
            </w:r>
          </w:p>
        </w:tc>
        <w:tc>
          <w:tcPr>
            <w:tcW w:type="dxa" w:w="1560"/>
          </w:tcPr>
          <w:p>
            <w:pPr>
              <w:jc w:val="center"/>
            </w:pPr>
            <w:r/>
            <w:r>
              <w:rPr>
                <w:rFonts w:ascii="Times New Roman" w:hAnsi="Times New Roman"/>
                <w:sz w:val="18"/>
              </w:rPr>
              <w:t>0.042</w:t>
            </w:r>
          </w:p>
        </w:tc>
      </w:tr>
      <w:tr>
        <w:tc>
          <w:tcPr>
            <w:tcW w:type="dxa" w:w="1560"/>
          </w:tcPr>
          <w:p>
            <w:r/>
            <w:r>
              <w:rPr>
                <w:rFonts w:ascii="Times New Roman" w:hAnsi="Times New Roman"/>
                <w:sz w:val="18"/>
              </w:rPr>
              <w:t>Obstetrics &amp; gynaecology</w:t>
            </w:r>
          </w:p>
        </w:tc>
        <w:tc>
          <w:tcPr>
            <w:tcW w:type="dxa" w:w="1560"/>
          </w:tcPr>
          <w:p>
            <w:pPr>
              <w:jc w:val="center"/>
            </w:pPr>
            <w:r/>
            <w:r>
              <w:rPr>
                <w:rFonts w:ascii="Times New Roman" w:hAnsi="Times New Roman"/>
                <w:sz w:val="18"/>
              </w:rPr>
              <w:t>Litigation</w:t>
            </w:r>
          </w:p>
        </w:tc>
        <w:tc>
          <w:tcPr>
            <w:tcW w:type="dxa" w:w="1560"/>
          </w:tcPr>
          <w:p>
            <w:pPr>
              <w:jc w:val="center"/>
            </w:pPr>
            <w:r/>
            <w:r>
              <w:rPr>
                <w:rFonts w:ascii="Times New Roman" w:hAnsi="Times New Roman"/>
                <w:sz w:val="18"/>
              </w:rPr>
              <w:t>Facilities</w:t>
            </w:r>
          </w:p>
        </w:tc>
        <w:tc>
          <w:tcPr>
            <w:tcW w:type="dxa" w:w="1560"/>
          </w:tcPr>
          <w:p>
            <w:pPr>
              <w:jc w:val="center"/>
            </w:pPr>
            <w:r/>
            <w:r>
              <w:rPr>
                <w:rFonts w:ascii="Times New Roman" w:hAnsi="Times New Roman"/>
                <w:sz w:val="18"/>
              </w:rPr>
              <w:t>0.990</w:t>
            </w:r>
          </w:p>
        </w:tc>
        <w:tc>
          <w:tcPr>
            <w:tcW w:type="dxa" w:w="1560"/>
          </w:tcPr>
          <w:p>
            <w:pPr>
              <w:jc w:val="center"/>
            </w:pPr>
            <w:r/>
            <w:r>
              <w:rPr>
                <w:rFonts w:ascii="Times New Roman" w:hAnsi="Times New Roman"/>
                <w:sz w:val="18"/>
              </w:rPr>
              <w:t>+5.5 per case</w:t>
            </w:r>
          </w:p>
        </w:tc>
        <w:tc>
          <w:tcPr>
            <w:tcW w:type="dxa" w:w="1560"/>
          </w:tcPr>
          <w:p>
            <w:pPr>
              <w:jc w:val="center"/>
            </w:pPr>
            <w:r/>
            <w:r>
              <w:rPr>
                <w:rFonts w:ascii="Times New Roman" w:hAnsi="Times New Roman"/>
                <w:sz w:val="18"/>
              </w:rPr>
              <w:t>&lt;0.001</w:t>
            </w:r>
          </w:p>
        </w:tc>
      </w:tr>
      <w:tr>
        <w:tc>
          <w:tcPr>
            <w:tcW w:type="dxa" w:w="1560"/>
          </w:tcPr>
          <w:p>
            <w:r/>
            <w:r>
              <w:rPr>
                <w:rFonts w:ascii="Times New Roman" w:hAnsi="Times New Roman"/>
                <w:sz w:val="18"/>
              </w:rPr>
              <w:t>Ophthalmology</w:t>
            </w:r>
          </w:p>
        </w:tc>
        <w:tc>
          <w:tcPr>
            <w:tcW w:type="dxa" w:w="1560"/>
          </w:tcPr>
          <w:p>
            <w:pPr>
              <w:jc w:val="center"/>
            </w:pPr>
            <w:r/>
            <w:r>
              <w:rPr>
                <w:rFonts w:ascii="Times New Roman" w:hAnsi="Times New Roman"/>
                <w:sz w:val="18"/>
              </w:rPr>
              <w:t>JMSR</w:t>
            </w:r>
          </w:p>
        </w:tc>
        <w:tc>
          <w:tcPr>
            <w:tcW w:type="dxa" w:w="1560"/>
          </w:tcPr>
          <w:p>
            <w:pPr>
              <w:jc w:val="center"/>
            </w:pPr>
            <w:r/>
            <w:r>
              <w:rPr>
                <w:rFonts w:ascii="Times New Roman" w:hAnsi="Times New Roman"/>
                <w:sz w:val="18"/>
              </w:rPr>
              <w:t>Facilities</w:t>
            </w:r>
          </w:p>
        </w:tc>
        <w:tc>
          <w:tcPr>
            <w:tcW w:type="dxa" w:w="1560"/>
          </w:tcPr>
          <w:p>
            <w:pPr>
              <w:jc w:val="center"/>
            </w:pPr>
            <w:r/>
            <w:r>
              <w:rPr>
                <w:rFonts w:ascii="Times New Roman" w:hAnsi="Times New Roman"/>
                <w:sz w:val="18"/>
              </w:rPr>
              <w:t>1.000</w:t>
            </w:r>
          </w:p>
        </w:tc>
        <w:tc>
          <w:tcPr>
            <w:tcW w:type="dxa" w:w="1560"/>
          </w:tcPr>
          <w:p>
            <w:pPr>
              <w:jc w:val="center"/>
            </w:pPr>
            <w:r/>
            <w:r>
              <w:rPr>
                <w:rFonts w:ascii="Times New Roman" w:hAnsi="Times New Roman"/>
                <w:sz w:val="18"/>
              </w:rPr>
              <w:t>+4.1 per report</w:t>
            </w:r>
          </w:p>
        </w:tc>
        <w:tc>
          <w:tcPr>
            <w:tcW w:type="dxa" w:w="1560"/>
          </w:tcPr>
          <w:p>
            <w:pPr>
              <w:jc w:val="center"/>
            </w:pPr>
            <w:r/>
            <w:r>
              <w:rPr>
                <w:rFonts w:ascii="Times New Roman" w:hAnsi="Times New Roman"/>
                <w:sz w:val="18"/>
              </w:rPr>
              <w:t>0.039</w:t>
            </w:r>
          </w:p>
        </w:tc>
      </w:tr>
      <w:tr>
        <w:tc>
          <w:tcPr>
            <w:tcW w:type="dxa" w:w="1560"/>
          </w:tcPr>
          <w:p>
            <w:r/>
            <w:r>
              <w:rPr>
                <w:rFonts w:ascii="Times New Roman" w:hAnsi="Times New Roman"/>
                <w:sz w:val="18"/>
              </w:rPr>
              <w:t>Plastic surgery</w:t>
            </w:r>
          </w:p>
        </w:tc>
        <w:tc>
          <w:tcPr>
            <w:tcW w:type="dxa" w:w="1560"/>
          </w:tcPr>
          <w:p>
            <w:pPr>
              <w:jc w:val="center"/>
            </w:pPr>
            <w:r/>
            <w:r>
              <w:rPr>
                <w:rFonts w:ascii="Times New Roman" w:hAnsi="Times New Roman"/>
                <w:sz w:val="18"/>
              </w:rPr>
              <w:t>Litigation</w:t>
            </w:r>
          </w:p>
        </w:tc>
        <w:tc>
          <w:tcPr>
            <w:tcW w:type="dxa" w:w="1560"/>
          </w:tcPr>
          <w:p>
            <w:pPr>
              <w:jc w:val="center"/>
            </w:pPr>
            <w:r/>
            <w:r>
              <w:rPr>
                <w:rFonts w:ascii="Times New Roman" w:hAnsi="Times New Roman"/>
                <w:sz w:val="18"/>
              </w:rPr>
              <w:t>Facilities</w:t>
            </w:r>
          </w:p>
        </w:tc>
        <w:tc>
          <w:tcPr>
            <w:tcW w:type="dxa" w:w="1560"/>
          </w:tcPr>
          <w:p>
            <w:pPr>
              <w:jc w:val="center"/>
            </w:pPr>
            <w:r/>
            <w:r>
              <w:rPr>
                <w:rFonts w:ascii="Times New Roman" w:hAnsi="Times New Roman"/>
                <w:sz w:val="18"/>
              </w:rPr>
              <w:t>0.999</w:t>
            </w:r>
          </w:p>
        </w:tc>
        <w:tc>
          <w:tcPr>
            <w:tcW w:type="dxa" w:w="1560"/>
          </w:tcPr>
          <w:p>
            <w:pPr>
              <w:jc w:val="center"/>
            </w:pPr>
            <w:r/>
            <w:r>
              <w:rPr>
                <w:rFonts w:ascii="Times New Roman" w:hAnsi="Times New Roman"/>
                <w:sz w:val="18"/>
              </w:rPr>
              <w:t>+4.1 per case</w:t>
            </w:r>
          </w:p>
        </w:tc>
        <w:tc>
          <w:tcPr>
            <w:tcW w:type="dxa" w:w="1560"/>
          </w:tcPr>
          <w:p>
            <w:pPr>
              <w:jc w:val="center"/>
            </w:pPr>
            <w:r/>
            <w:r>
              <w:rPr>
                <w:rFonts w:ascii="Times New Roman" w:hAnsi="Times New Roman"/>
                <w:sz w:val="18"/>
              </w:rPr>
              <w:t>0.005</w:t>
            </w:r>
          </w:p>
        </w:tc>
      </w:tr>
    </w:tbl>
    <w:p/>
    <w:p>
      <w:pPr>
        <w:spacing w:after="120" w:line="480" w:lineRule="auto"/>
      </w:pPr>
      <w:r>
        <w:rPr>
          <w:rFonts w:ascii="Times New Roman" w:hAnsi="Times New Roman"/>
          <w:b w:val="0"/>
          <w:i w:val="0"/>
          <w:sz w:val="24"/>
        </w:rPr>
        <w:t>The positive direction of the incident effect coefficients warrants careful interpretation (see Discussion). In the segmented regression framework, both incident counts and physician/facility counts share strong secular trends, which can produce paradoxically positive associations in the contemporaneous model even when the detrended cross-correlation is negative. The estimated lead times across all combinations are summarised in figure 5.</w:t>
      </w:r>
    </w:p>
    <w:p>
      <w:pPr>
        <w:jc w:val="center"/>
      </w:pPr>
      <w:r>
        <w:drawing>
          <wp:inline xmlns:a="http://schemas.openxmlformats.org/drawingml/2006/main" xmlns:pic="http://schemas.openxmlformats.org/drawingml/2006/picture">
            <wp:extent cx="5486400" cy="2751340"/>
            <wp:docPr id="5" name="Picture 5"/>
            <wp:cNvGraphicFramePr>
              <a:graphicFrameLocks noChangeAspect="1"/>
            </wp:cNvGraphicFramePr>
            <a:graphic>
              <a:graphicData uri="http://schemas.openxmlformats.org/drawingml/2006/picture">
                <pic:pic>
                  <pic:nvPicPr>
                    <pic:cNvPr id="0" name="lead_time_heatmap.png"/>
                    <pic:cNvPicPr/>
                  </pic:nvPicPr>
                  <pic:blipFill>
                    <a:blip r:embed="rId13"/>
                    <a:stretch>
                      <a:fillRect/>
                    </a:stretch>
                  </pic:blipFill>
                  <pic:spPr>
                    <a:xfrm>
                      <a:off x="0" y="0"/>
                      <a:ext cx="5486400" cy="2751340"/>
                    </a:xfrm>
                    <a:prstGeom prst="rect"/>
                  </pic:spPr>
                </pic:pic>
              </a:graphicData>
            </a:graphic>
          </wp:inline>
        </w:drawing>
      </w:r>
    </w:p>
    <w:p>
      <w:pPr>
        <w:spacing w:after="240" w:line="480" w:lineRule="auto"/>
        <w:jc w:val="left"/>
      </w:pPr>
      <w:r>
        <w:rPr>
          <w:rFonts w:ascii="Times New Roman" w:hAnsi="Times New Roman"/>
          <w:i/>
          <w:sz w:val="20"/>
        </w:rPr>
        <w:t>Figure 5. Heatmap of estimated lead times (years) from cross-correlation analysis. Rows represent specialties; columns represent incident definition-outcome combinations. Darker colours indicate stronger inverse correlations. Positive lag values indicate that incident changes precede outcome changes.</w:t>
      </w:r>
    </w:p>
    <w:p>
      <w:pPr>
        <w:pStyle w:val="Heading2"/>
      </w:pPr>
      <w:r>
        <w:rPr>
          <w:rFonts w:ascii="Times New Roman" w:hAnsi="Times New Roman"/>
          <w:color w:val="000000"/>
        </w:rPr>
        <w:t>Window period estimates</w:t>
      </w:r>
    </w:p>
    <w:p>
      <w:pPr>
        <w:spacing w:after="120" w:line="480" w:lineRule="auto"/>
      </w:pPr>
      <w:r>
        <w:rPr>
          <w:rFonts w:ascii="Times New Roman" w:hAnsi="Times New Roman"/>
          <w:b w:val="0"/>
          <w:i w:val="0"/>
          <w:sz w:val="24"/>
        </w:rPr>
        <w:t>The mean estimated window period was 4.1 years for physician counts (median 4.0) and 4.2 years for facility counts (median 5.0) (table 3). Among individual specialties, obstetrics and gynaecology showed the longest estimated window period for physician effects (7–9 years depending on incident definition), while general surgery showed 7–10 years. Orthopaedic surgery and plastic surgery had shorter estimated windows (1–2 years). Full window period estimates for all specialty-definition-outcome combinations are provided in supplementary table S4.</w:t>
      </w:r>
    </w:p>
    <w:p>
      <w:pPr>
        <w:spacing w:after="120" w:line="480" w:lineRule="auto"/>
      </w:pPr>
      <w:r>
        <w:rPr>
          <w:rFonts w:ascii="Times New Roman" w:hAnsi="Times New Roman"/>
          <w:b/>
          <w:sz w:val="20"/>
        </w:rPr>
        <w:t>Table 3. Summary of lead time and window period estimates by outcome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sz w:val="18"/>
              </w:rPr>
              <w:t>Outcome</w:t>
            </w:r>
          </w:p>
        </w:tc>
        <w:tc>
          <w:tcPr>
            <w:tcW w:type="dxa" w:w="1872"/>
          </w:tcPr>
          <w:p>
            <w:pPr>
              <w:jc w:val="center"/>
            </w:pPr>
            <w:r/>
            <w:r>
              <w:rPr>
                <w:rFonts w:ascii="Times New Roman" w:hAnsi="Times New Roman"/>
                <w:b/>
                <w:sz w:val="18"/>
              </w:rPr>
              <w:t>Mean lead time (years)</w:t>
            </w:r>
          </w:p>
        </w:tc>
        <w:tc>
          <w:tcPr>
            <w:tcW w:type="dxa" w:w="1872"/>
          </w:tcPr>
          <w:p>
            <w:pPr>
              <w:jc w:val="center"/>
            </w:pPr>
            <w:r/>
            <w:r>
              <w:rPr>
                <w:rFonts w:ascii="Times New Roman" w:hAnsi="Times New Roman"/>
                <w:b/>
                <w:sz w:val="18"/>
              </w:rPr>
              <w:t>Median lead time (years)</w:t>
            </w:r>
          </w:p>
        </w:tc>
        <w:tc>
          <w:tcPr>
            <w:tcW w:type="dxa" w:w="1872"/>
          </w:tcPr>
          <w:p>
            <w:pPr>
              <w:jc w:val="center"/>
            </w:pPr>
            <w:r/>
            <w:r>
              <w:rPr>
                <w:rFonts w:ascii="Times New Roman" w:hAnsi="Times New Roman"/>
                <w:b/>
                <w:sz w:val="18"/>
              </w:rPr>
              <w:t>Mean window period (years)</w:t>
            </w:r>
          </w:p>
        </w:tc>
        <w:tc>
          <w:tcPr>
            <w:tcW w:type="dxa" w:w="1872"/>
          </w:tcPr>
          <w:p>
            <w:pPr>
              <w:jc w:val="center"/>
            </w:pPr>
            <w:r/>
            <w:r>
              <w:rPr>
                <w:rFonts w:ascii="Times New Roman" w:hAnsi="Times New Roman"/>
                <w:b/>
                <w:sz w:val="18"/>
              </w:rPr>
              <w:t>Median window period (years)</w:t>
            </w:r>
          </w:p>
        </w:tc>
      </w:tr>
      <w:tr>
        <w:tc>
          <w:tcPr>
            <w:tcW w:type="dxa" w:w="1872"/>
          </w:tcPr>
          <w:p>
            <w:r/>
            <w:r>
              <w:rPr>
                <w:rFonts w:ascii="Times New Roman" w:hAnsi="Times New Roman"/>
                <w:sz w:val="18"/>
              </w:rPr>
              <w:t>Physician counts</w:t>
            </w:r>
          </w:p>
        </w:tc>
        <w:tc>
          <w:tcPr>
            <w:tcW w:type="dxa" w:w="1872"/>
          </w:tcPr>
          <w:p>
            <w:pPr>
              <w:jc w:val="center"/>
            </w:pPr>
            <w:r/>
            <w:r>
              <w:rPr>
                <w:rFonts w:ascii="Times New Roman" w:hAnsi="Times New Roman"/>
                <w:sz w:val="18"/>
              </w:rPr>
              <w:t>1.3</w:t>
            </w:r>
          </w:p>
        </w:tc>
        <w:tc>
          <w:tcPr>
            <w:tcW w:type="dxa" w:w="1872"/>
          </w:tcPr>
          <w:p>
            <w:pPr>
              <w:jc w:val="center"/>
            </w:pPr>
            <w:r/>
            <w:r>
              <w:rPr>
                <w:rFonts w:ascii="Times New Roman" w:hAnsi="Times New Roman"/>
                <w:sz w:val="18"/>
              </w:rPr>
              <w:t>2.5</w:t>
            </w:r>
          </w:p>
        </w:tc>
        <w:tc>
          <w:tcPr>
            <w:tcW w:type="dxa" w:w="1872"/>
          </w:tcPr>
          <w:p>
            <w:pPr>
              <w:jc w:val="center"/>
            </w:pPr>
            <w:r/>
            <w:r>
              <w:rPr>
                <w:rFonts w:ascii="Times New Roman" w:hAnsi="Times New Roman"/>
                <w:sz w:val="18"/>
              </w:rPr>
              <w:t>4.1</w:t>
            </w:r>
          </w:p>
        </w:tc>
        <w:tc>
          <w:tcPr>
            <w:tcW w:type="dxa" w:w="1872"/>
          </w:tcPr>
          <w:p>
            <w:pPr>
              <w:jc w:val="center"/>
            </w:pPr>
            <w:r/>
            <w:r>
              <w:rPr>
                <w:rFonts w:ascii="Times New Roman" w:hAnsi="Times New Roman"/>
                <w:sz w:val="18"/>
              </w:rPr>
              <w:t>4.0</w:t>
            </w:r>
          </w:p>
        </w:tc>
      </w:tr>
      <w:tr>
        <w:tc>
          <w:tcPr>
            <w:tcW w:type="dxa" w:w="1872"/>
          </w:tcPr>
          <w:p>
            <w:r/>
            <w:r>
              <w:rPr>
                <w:rFonts w:ascii="Times New Roman" w:hAnsi="Times New Roman"/>
                <w:sz w:val="18"/>
              </w:rPr>
              <w:t>Facility counts</w:t>
            </w:r>
          </w:p>
        </w:tc>
        <w:tc>
          <w:tcPr>
            <w:tcW w:type="dxa" w:w="1872"/>
          </w:tcPr>
          <w:p>
            <w:pPr>
              <w:jc w:val="center"/>
            </w:pPr>
            <w:r/>
            <w:r>
              <w:rPr>
                <w:rFonts w:ascii="Times New Roman" w:hAnsi="Times New Roman"/>
                <w:sz w:val="18"/>
              </w:rPr>
              <w:t>−0.1</w:t>
            </w:r>
          </w:p>
        </w:tc>
        <w:tc>
          <w:tcPr>
            <w:tcW w:type="dxa" w:w="1872"/>
          </w:tcPr>
          <w:p>
            <w:pPr>
              <w:jc w:val="center"/>
            </w:pPr>
            <w:r/>
            <w:r>
              <w:rPr>
                <w:rFonts w:ascii="Times New Roman" w:hAnsi="Times New Roman"/>
                <w:sz w:val="18"/>
              </w:rPr>
              <w:t>0.0</w:t>
            </w:r>
          </w:p>
        </w:tc>
        <w:tc>
          <w:tcPr>
            <w:tcW w:type="dxa" w:w="1872"/>
          </w:tcPr>
          <w:p>
            <w:pPr>
              <w:jc w:val="center"/>
            </w:pPr>
            <w:r/>
            <w:r>
              <w:rPr>
                <w:rFonts w:ascii="Times New Roman" w:hAnsi="Times New Roman"/>
                <w:sz w:val="18"/>
              </w:rPr>
              <w:t>4.2</w:t>
            </w:r>
          </w:p>
        </w:tc>
        <w:tc>
          <w:tcPr>
            <w:tcW w:type="dxa" w:w="1872"/>
          </w:tcPr>
          <w:p>
            <w:pPr>
              <w:jc w:val="center"/>
            </w:pPr>
            <w:r/>
            <w:r>
              <w:rPr>
                <w:rFonts w:ascii="Times New Roman" w:hAnsi="Times New Roman"/>
                <w:sz w:val="18"/>
              </w:rPr>
              <w:t>5.0</w:t>
            </w:r>
          </w:p>
        </w:tc>
      </w:tr>
    </w:tbl>
    <w:p/>
    <w:p>
      <w:pPr>
        <w:spacing w:after="120" w:line="480" w:lineRule="auto"/>
      </w:pPr>
      <w:r>
        <w:rPr>
          <w:rFonts w:ascii="Times New Roman" w:hAnsi="Times New Roman"/>
          <w:b w:val="0"/>
          <w:i w:val="0"/>
          <w:sz w:val="24"/>
        </w:rPr>
        <w:t>Corresponding ITS plots for facility counts under Definition 1 (JMSR) are shown in figure 6.</w:t>
      </w:r>
    </w:p>
    <w:p>
      <w:pPr>
        <w:jc w:val="center"/>
      </w:pPr>
      <w:r>
        <w:drawing>
          <wp:inline xmlns:a="http://schemas.openxmlformats.org/drawingml/2006/main" xmlns:pic="http://schemas.openxmlformats.org/drawingml/2006/picture">
            <wp:extent cx="5486400" cy="7147943"/>
            <wp:docPr id="6" name="Picture 6"/>
            <wp:cNvGraphicFramePr>
              <a:graphicFrameLocks noChangeAspect="1"/>
            </wp:cNvGraphicFramePr>
            <a:graphic>
              <a:graphicData uri="http://schemas.openxmlformats.org/drawingml/2006/picture">
                <pic:pic>
                  <pic:nvPicPr>
                    <pic:cNvPr id="0" name="its_facilities_def1.png"/>
                    <pic:cNvPicPr/>
                  </pic:nvPicPr>
                  <pic:blipFill>
                    <a:blip r:embed="rId14"/>
                    <a:stretch>
                      <a:fillRect/>
                    </a:stretch>
                  </pic:blipFill>
                  <pic:spPr>
                    <a:xfrm>
                      <a:off x="0" y="0"/>
                      <a:ext cx="5486400" cy="7147943"/>
                    </a:xfrm>
                    <a:prstGeom prst="rect"/>
                  </pic:spPr>
                </pic:pic>
              </a:graphicData>
            </a:graphic>
          </wp:inline>
        </w:drawing>
      </w:r>
    </w:p>
    <w:p>
      <w:pPr>
        <w:spacing w:after="240" w:line="480" w:lineRule="auto"/>
        <w:jc w:val="left"/>
      </w:pPr>
      <w:r>
        <w:rPr>
          <w:rFonts w:ascii="Times New Roman" w:hAnsi="Times New Roman"/>
          <w:i/>
          <w:sz w:val="20"/>
        </w:rPr>
        <w:t>Figure 6. Interrupted time series plots for facility counts against JMSR incident reports for the 12 core specialties. Fitted segmented regression lines are shown.</w:t>
      </w:r>
    </w:p>
    <w:p>
      <w:pPr>
        <w:pStyle w:val="Heading2"/>
      </w:pPr>
      <w:r>
        <w:rPr>
          <w:rFonts w:ascii="Times New Roman" w:hAnsi="Times New Roman"/>
          <w:color w:val="000000"/>
        </w:rPr>
        <w:t>Trainee analysis</w:t>
      </w:r>
    </w:p>
    <w:p>
      <w:pPr>
        <w:spacing w:after="120" w:line="480" w:lineRule="auto"/>
      </w:pPr>
      <w:r>
        <w:rPr>
          <w:rFonts w:ascii="Times New Roman" w:hAnsi="Times New Roman"/>
          <w:b w:val="0"/>
          <w:i w:val="0"/>
          <w:sz w:val="24"/>
        </w:rPr>
        <w:t>Cross-correlation between JMSR incident reports and trainee enrolment showed notable inverse associations for orthopaedic surgery (r=−0.91, lag +4 years), otolaryngology (r=−0.94, lag −3 years), and urology (r=−0.90, lag −4 years). However, the trainee data series is limited to 8 years (2018–2025), restricting statistical power and the reliability of lag estimation.</w:t>
      </w:r>
    </w:p>
    <w:p>
      <w:pPr>
        <w:pStyle w:val="Heading2"/>
      </w:pPr>
      <w:r>
        <w:rPr>
          <w:rFonts w:ascii="Times New Roman" w:hAnsi="Times New Roman"/>
          <w:color w:val="000000"/>
        </w:rPr>
        <w:t>Forecasting</w:t>
      </w:r>
    </w:p>
    <w:p>
      <w:pPr>
        <w:spacing w:after="120" w:line="480" w:lineRule="auto"/>
      </w:pPr>
      <w:r>
        <w:rPr>
          <w:rFonts w:ascii="Times New Roman" w:hAnsi="Times New Roman"/>
          <w:b w:val="0"/>
          <w:i w:val="0"/>
          <w:sz w:val="24"/>
        </w:rPr>
        <w:t>Based on linear trend extrapolation from the most recent decade, the following specialties are projected to experience continued workforce contraction through 2034 (table 4):</w:t>
      </w:r>
    </w:p>
    <w:p>
      <w:pPr>
        <w:spacing w:after="120" w:line="480" w:lineRule="auto"/>
      </w:pPr>
      <w:r>
        <w:rPr>
          <w:rFonts w:ascii="Times New Roman" w:hAnsi="Times New Roman"/>
          <w:b/>
          <w:sz w:val="20"/>
        </w:rPr>
        <w:t>Table 4. Projected workforce changes by specialty, 2025–2034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rFonts w:ascii="Times New Roman" w:hAnsi="Times New Roman"/>
                <w:b/>
                <w:sz w:val="18"/>
              </w:rPr>
              <w:t>Specialty</w:t>
            </w:r>
          </w:p>
        </w:tc>
        <w:tc>
          <w:tcPr>
            <w:tcW w:type="dxa" w:w="2340"/>
          </w:tcPr>
          <w:p>
            <w:pPr>
              <w:jc w:val="center"/>
            </w:pPr>
            <w:r/>
            <w:r>
              <w:rPr>
                <w:rFonts w:ascii="Times New Roman" w:hAnsi="Times New Roman"/>
                <w:b/>
                <w:sz w:val="18"/>
              </w:rPr>
              <w:t>Physicians (annual change)</w:t>
            </w:r>
          </w:p>
        </w:tc>
        <w:tc>
          <w:tcPr>
            <w:tcW w:type="dxa" w:w="2340"/>
          </w:tcPr>
          <w:p>
            <w:pPr>
              <w:jc w:val="center"/>
            </w:pPr>
            <w:r/>
            <w:r>
              <w:rPr>
                <w:rFonts w:ascii="Times New Roman" w:hAnsi="Times New Roman"/>
                <w:b/>
                <w:sz w:val="18"/>
              </w:rPr>
              <w:t>Facilities (annual change)</w:t>
            </w:r>
          </w:p>
        </w:tc>
        <w:tc>
          <w:tcPr>
            <w:tcW w:type="dxa" w:w="2340"/>
          </w:tcPr>
          <w:p>
            <w:pPr>
              <w:jc w:val="center"/>
            </w:pPr>
            <w:r/>
            <w:r>
              <w:rPr>
                <w:rFonts w:ascii="Times New Roman" w:hAnsi="Times New Roman"/>
                <w:b/>
                <w:sz w:val="18"/>
              </w:rPr>
              <w:t>Trainees (annual change)</w:t>
            </w:r>
          </w:p>
        </w:tc>
      </w:tr>
      <w:tr>
        <w:tc>
          <w:tcPr>
            <w:tcW w:type="dxa" w:w="2340"/>
          </w:tcPr>
          <w:p>
            <w:r/>
            <w:r>
              <w:rPr>
                <w:rFonts w:ascii="Times New Roman" w:hAnsi="Times New Roman"/>
                <w:sz w:val="18"/>
              </w:rPr>
              <w:t>General surgery</w:t>
            </w:r>
          </w:p>
        </w:tc>
        <w:tc>
          <w:tcPr>
            <w:tcW w:type="dxa" w:w="2340"/>
          </w:tcPr>
          <w:p>
            <w:pPr>
              <w:jc w:val="center"/>
            </w:pPr>
            <w:r/>
            <w:r>
              <w:rPr>
                <w:rFonts w:ascii="Times New Roman" w:hAnsi="Times New Roman"/>
                <w:sz w:val="18"/>
              </w:rPr>
              <w:t>−260</w:t>
            </w:r>
          </w:p>
        </w:tc>
        <w:tc>
          <w:tcPr>
            <w:tcW w:type="dxa" w:w="2340"/>
          </w:tcPr>
          <w:p>
            <w:pPr>
              <w:jc w:val="center"/>
            </w:pPr>
            <w:r/>
            <w:r>
              <w:rPr>
                <w:rFonts w:ascii="Times New Roman" w:hAnsi="Times New Roman"/>
                <w:sz w:val="18"/>
              </w:rPr>
              <w:t>−350</w:t>
            </w:r>
          </w:p>
        </w:tc>
        <w:tc>
          <w:tcPr>
            <w:tcW w:type="dxa" w:w="2340"/>
          </w:tcPr>
          <w:p>
            <w:pPr>
              <w:jc w:val="center"/>
            </w:pPr>
            <w:r/>
            <w:r>
              <w:rPr>
                <w:rFonts w:ascii="Times New Roman" w:hAnsi="Times New Roman"/>
                <w:sz w:val="18"/>
              </w:rPr>
              <w:t>+3</w:t>
            </w:r>
          </w:p>
        </w:tc>
      </w:tr>
      <w:tr>
        <w:tc>
          <w:tcPr>
            <w:tcW w:type="dxa" w:w="2340"/>
          </w:tcPr>
          <w:p>
            <w:r/>
            <w:r>
              <w:rPr>
                <w:rFonts w:ascii="Times New Roman" w:hAnsi="Times New Roman"/>
                <w:sz w:val="18"/>
              </w:rPr>
              <w:t>Obstetrics &amp; gynaecology</w:t>
            </w:r>
          </w:p>
        </w:tc>
        <w:tc>
          <w:tcPr>
            <w:tcW w:type="dxa" w:w="2340"/>
          </w:tcPr>
          <w:p>
            <w:pPr>
              <w:jc w:val="center"/>
            </w:pPr>
            <w:r/>
            <w:r>
              <w:rPr>
                <w:rFonts w:ascii="Times New Roman" w:hAnsi="Times New Roman"/>
                <w:sz w:val="18"/>
              </w:rPr>
              <w:t>+111</w:t>
            </w:r>
          </w:p>
        </w:tc>
        <w:tc>
          <w:tcPr>
            <w:tcW w:type="dxa" w:w="2340"/>
          </w:tcPr>
          <w:p>
            <w:pPr>
              <w:jc w:val="center"/>
            </w:pPr>
            <w:r/>
            <w:r>
              <w:rPr>
                <w:rFonts w:ascii="Times New Roman" w:hAnsi="Times New Roman"/>
                <w:sz w:val="18"/>
              </w:rPr>
              <w:t>−65</w:t>
            </w:r>
          </w:p>
        </w:tc>
        <w:tc>
          <w:tcPr>
            <w:tcW w:type="dxa" w:w="2340"/>
          </w:tcPr>
          <w:p>
            <w:pPr>
              <w:jc w:val="center"/>
            </w:pPr>
            <w:r/>
            <w:r>
              <w:rPr>
                <w:rFonts w:ascii="Times New Roman" w:hAnsi="Times New Roman"/>
                <w:sz w:val="18"/>
              </w:rPr>
              <w:t>+6</w:t>
            </w:r>
          </w:p>
        </w:tc>
      </w:tr>
      <w:tr>
        <w:tc>
          <w:tcPr>
            <w:tcW w:type="dxa" w:w="2340"/>
          </w:tcPr>
          <w:p>
            <w:r/>
            <w:r>
              <w:rPr>
                <w:rFonts w:ascii="Times New Roman" w:hAnsi="Times New Roman"/>
                <w:sz w:val="18"/>
              </w:rPr>
              <w:t>Internal medicine</w:t>
            </w:r>
          </w:p>
        </w:tc>
        <w:tc>
          <w:tcPr>
            <w:tcW w:type="dxa" w:w="2340"/>
          </w:tcPr>
          <w:p>
            <w:pPr>
              <w:jc w:val="center"/>
            </w:pPr>
            <w:r/>
            <w:r>
              <w:rPr>
                <w:rFonts w:ascii="Times New Roman" w:hAnsi="Times New Roman"/>
                <w:sz w:val="18"/>
              </w:rPr>
              <w:t>+378</w:t>
            </w:r>
          </w:p>
        </w:tc>
        <w:tc>
          <w:tcPr>
            <w:tcW w:type="dxa" w:w="2340"/>
          </w:tcPr>
          <w:p>
            <w:pPr>
              <w:jc w:val="center"/>
            </w:pPr>
            <w:r/>
            <w:r>
              <w:rPr>
                <w:rFonts w:ascii="Times New Roman" w:hAnsi="Times New Roman"/>
                <w:sz w:val="18"/>
              </w:rPr>
              <w:t>−256</w:t>
            </w:r>
          </w:p>
        </w:tc>
        <w:tc>
          <w:tcPr>
            <w:tcW w:type="dxa" w:w="2340"/>
          </w:tcPr>
          <w:p>
            <w:pPr>
              <w:jc w:val="center"/>
            </w:pPr>
            <w:r/>
            <w:r>
              <w:rPr>
                <w:rFonts w:ascii="Times New Roman" w:hAnsi="Times New Roman"/>
                <w:sz w:val="18"/>
              </w:rPr>
              <w:t>+30</w:t>
            </w:r>
          </w:p>
        </w:tc>
      </w:tr>
      <w:tr>
        <w:tc>
          <w:tcPr>
            <w:tcW w:type="dxa" w:w="2340"/>
          </w:tcPr>
          <w:p>
            <w:r/>
            <w:r>
              <w:rPr>
                <w:rFonts w:ascii="Times New Roman" w:hAnsi="Times New Roman"/>
                <w:sz w:val="18"/>
              </w:rPr>
              <w:t>Paediatrics</w:t>
            </w:r>
          </w:p>
        </w:tc>
        <w:tc>
          <w:tcPr>
            <w:tcW w:type="dxa" w:w="2340"/>
          </w:tcPr>
          <w:p>
            <w:pPr>
              <w:jc w:val="center"/>
            </w:pPr>
            <w:r/>
            <w:r>
              <w:rPr>
                <w:rFonts w:ascii="Times New Roman" w:hAnsi="Times New Roman"/>
                <w:sz w:val="18"/>
              </w:rPr>
              <w:t>+206</w:t>
            </w:r>
          </w:p>
        </w:tc>
        <w:tc>
          <w:tcPr>
            <w:tcW w:type="dxa" w:w="2340"/>
          </w:tcPr>
          <w:p>
            <w:pPr>
              <w:jc w:val="center"/>
            </w:pPr>
            <w:r/>
            <w:r>
              <w:rPr>
                <w:rFonts w:ascii="Times New Roman" w:hAnsi="Times New Roman"/>
                <w:sz w:val="18"/>
              </w:rPr>
              <w:t>−188</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Orthopaedic surgery</w:t>
            </w:r>
          </w:p>
        </w:tc>
        <w:tc>
          <w:tcPr>
            <w:tcW w:type="dxa" w:w="2340"/>
          </w:tcPr>
          <w:p>
            <w:pPr>
              <w:jc w:val="center"/>
            </w:pPr>
            <w:r/>
            <w:r>
              <w:rPr>
                <w:rFonts w:ascii="Times New Roman" w:hAnsi="Times New Roman"/>
                <w:sz w:val="18"/>
              </w:rPr>
              <w:t>+190</w:t>
            </w:r>
          </w:p>
        </w:tc>
        <w:tc>
          <w:tcPr>
            <w:tcW w:type="dxa" w:w="2340"/>
          </w:tcPr>
          <w:p>
            <w:pPr>
              <w:jc w:val="center"/>
            </w:pPr>
            <w:r/>
            <w:r>
              <w:rPr>
                <w:rFonts w:ascii="Times New Roman" w:hAnsi="Times New Roman"/>
                <w:sz w:val="18"/>
              </w:rPr>
              <w:t>−34</w:t>
            </w:r>
          </w:p>
        </w:tc>
        <w:tc>
          <w:tcPr>
            <w:tcW w:type="dxa" w:w="2340"/>
          </w:tcPr>
          <w:p>
            <w:pPr>
              <w:jc w:val="center"/>
            </w:pPr>
            <w:r/>
            <w:r>
              <w:rPr>
                <w:rFonts w:ascii="Times New Roman" w:hAnsi="Times New Roman"/>
                <w:sz w:val="18"/>
              </w:rPr>
              <w:t>+30</w:t>
            </w:r>
          </w:p>
        </w:tc>
      </w:tr>
      <w:tr>
        <w:tc>
          <w:tcPr>
            <w:tcW w:type="dxa" w:w="2340"/>
          </w:tcPr>
          <w:p>
            <w:r/>
            <w:r>
              <w:rPr>
                <w:rFonts w:ascii="Times New Roman" w:hAnsi="Times New Roman"/>
                <w:sz w:val="18"/>
              </w:rPr>
              <w:t>Anaesthesiology</w:t>
            </w:r>
          </w:p>
        </w:tc>
        <w:tc>
          <w:tcPr>
            <w:tcW w:type="dxa" w:w="2340"/>
          </w:tcPr>
          <w:p>
            <w:pPr>
              <w:jc w:val="center"/>
            </w:pPr>
            <w:r/>
            <w:r>
              <w:rPr>
                <w:rFonts w:ascii="Times New Roman" w:hAnsi="Times New Roman"/>
                <w:sz w:val="18"/>
              </w:rPr>
              <w:t>+186</w:t>
            </w:r>
          </w:p>
        </w:tc>
        <w:tc>
          <w:tcPr>
            <w:tcW w:type="dxa" w:w="2340"/>
          </w:tcPr>
          <w:p>
            <w:pPr>
              <w:jc w:val="center"/>
            </w:pPr>
            <w:r/>
            <w:r>
              <w:rPr>
                <w:rFonts w:ascii="Times New Roman" w:hAnsi="Times New Roman"/>
                <w:sz w:val="18"/>
              </w:rPr>
              <w:t>+72</w:t>
            </w:r>
          </w:p>
        </w:tc>
        <w:tc>
          <w:tcPr>
            <w:tcW w:type="dxa" w:w="2340"/>
          </w:tcPr>
          <w:p>
            <w:pPr>
              <w:jc w:val="center"/>
            </w:pPr>
            <w:r/>
            <w:r>
              <w:rPr>
                <w:rFonts w:ascii="Times New Roman" w:hAnsi="Times New Roman"/>
                <w:sz w:val="18"/>
              </w:rPr>
              <w:t>0</w:t>
            </w:r>
          </w:p>
        </w:tc>
      </w:tr>
      <w:tr>
        <w:tc>
          <w:tcPr>
            <w:tcW w:type="dxa" w:w="2340"/>
          </w:tcPr>
          <w:p>
            <w:r/>
            <w:r>
              <w:rPr>
                <w:rFonts w:ascii="Times New Roman" w:hAnsi="Times New Roman"/>
                <w:sz w:val="18"/>
              </w:rPr>
              <w:t>Otolaryngology</w:t>
            </w:r>
          </w:p>
        </w:tc>
        <w:tc>
          <w:tcPr>
            <w:tcW w:type="dxa" w:w="2340"/>
          </w:tcPr>
          <w:p>
            <w:pPr>
              <w:jc w:val="center"/>
            </w:pPr>
            <w:r/>
            <w:r>
              <w:rPr>
                <w:rFonts w:ascii="Times New Roman" w:hAnsi="Times New Roman"/>
                <w:sz w:val="18"/>
              </w:rPr>
              <w:t>−16</w:t>
            </w:r>
          </w:p>
        </w:tc>
        <w:tc>
          <w:tcPr>
            <w:tcW w:type="dxa" w:w="2340"/>
          </w:tcPr>
          <w:p>
            <w:pPr>
              <w:jc w:val="center"/>
            </w:pPr>
            <w:r/>
            <w:r>
              <w:rPr>
                <w:rFonts w:ascii="Times New Roman" w:hAnsi="Times New Roman"/>
                <w:sz w:val="18"/>
              </w:rPr>
              <w:t>−97</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Emergency medicine</w:t>
            </w:r>
          </w:p>
        </w:tc>
        <w:tc>
          <w:tcPr>
            <w:tcW w:type="dxa" w:w="2340"/>
          </w:tcPr>
          <w:p>
            <w:pPr>
              <w:jc w:val="center"/>
            </w:pPr>
            <w:r/>
            <w:r>
              <w:rPr>
                <w:rFonts w:ascii="Times New Roman" w:hAnsi="Times New Roman"/>
                <w:sz w:val="18"/>
              </w:rPr>
              <w:t>—</w:t>
            </w:r>
          </w:p>
        </w:tc>
        <w:tc>
          <w:tcPr>
            <w:tcW w:type="dxa" w:w="2340"/>
          </w:tcPr>
          <w:p>
            <w:pPr>
              <w:jc w:val="center"/>
            </w:pPr>
            <w:r/>
            <w:r>
              <w:rPr>
                <w:rFonts w:ascii="Times New Roman" w:hAnsi="Times New Roman"/>
                <w:sz w:val="18"/>
              </w:rPr>
              <w:t>—</w:t>
            </w:r>
          </w:p>
        </w:tc>
        <w:tc>
          <w:tcPr>
            <w:tcW w:type="dxa" w:w="2340"/>
          </w:tcPr>
          <w:p>
            <w:pPr>
              <w:jc w:val="center"/>
            </w:pPr>
            <w:r/>
            <w:r>
              <w:rPr>
                <w:rFonts w:ascii="Times New Roman" w:hAnsi="Times New Roman"/>
                <w:sz w:val="18"/>
              </w:rPr>
              <w:t>+33</w:t>
            </w:r>
          </w:p>
        </w:tc>
      </w:tr>
      <w:tr>
        <w:tc>
          <w:tcPr>
            <w:tcW w:type="dxa" w:w="2340"/>
          </w:tcPr>
          <w:p>
            <w:r/>
            <w:r>
              <w:rPr>
                <w:rFonts w:ascii="Times New Roman" w:hAnsi="Times New Roman"/>
                <w:sz w:val="18"/>
              </w:rPr>
              <w:t>General practice</w:t>
            </w:r>
          </w:p>
        </w:tc>
        <w:tc>
          <w:tcPr>
            <w:tcW w:type="dxa" w:w="2340"/>
          </w:tcPr>
          <w:p>
            <w:pPr>
              <w:jc w:val="center"/>
            </w:pPr>
            <w:r/>
            <w:r>
              <w:rPr>
                <w:rFonts w:ascii="Times New Roman" w:hAnsi="Times New Roman"/>
                <w:sz w:val="18"/>
              </w:rPr>
              <w:t>—</w:t>
            </w:r>
          </w:p>
        </w:tc>
        <w:tc>
          <w:tcPr>
            <w:tcW w:type="dxa" w:w="2340"/>
          </w:tcPr>
          <w:p>
            <w:pPr>
              <w:jc w:val="center"/>
            </w:pPr>
            <w:r/>
            <w:r>
              <w:rPr>
                <w:rFonts w:ascii="Times New Roman" w:hAnsi="Times New Roman"/>
                <w:sz w:val="18"/>
              </w:rPr>
              <w:t>—</w:t>
            </w:r>
          </w:p>
        </w:tc>
        <w:tc>
          <w:tcPr>
            <w:tcW w:type="dxa" w:w="2340"/>
          </w:tcPr>
          <w:p>
            <w:pPr>
              <w:jc w:val="center"/>
            </w:pPr>
            <w:r/>
            <w:r>
              <w:rPr>
                <w:rFonts w:ascii="Times New Roman" w:hAnsi="Times New Roman"/>
                <w:sz w:val="18"/>
              </w:rPr>
              <w:t>+20</w:t>
            </w:r>
          </w:p>
        </w:tc>
      </w:tr>
    </w:tbl>
    <w:p/>
    <w:p>
      <w:pPr>
        <w:spacing w:after="120" w:line="480" w:lineRule="auto"/>
      </w:pPr>
      <w:r>
        <w:rPr>
          <w:rFonts w:ascii="Times New Roman" w:hAnsi="Times New Roman"/>
          <w:b w:val="0"/>
          <w:i w:val="0"/>
          <w:sz w:val="24"/>
        </w:rPr>
        <w:t>General surgery is projected to decline to approximately 12 054 physicians and 10 318 facilities by 2034, representing a 40% facility reduction from 2010 levels. Conversely, emergency medicine trainee numbers are increasing at the fastest rate (+33 per year), followed by internal medicine and orthopaedic surgery (+30 each). Projected trends for physician counts, facility counts, and trainee enrolments are shown in figures 7, 8, and 9, respectively.</w:t>
      </w:r>
    </w:p>
    <w:p>
      <w:pPr>
        <w:jc w:val="center"/>
      </w:pPr>
      <w:r>
        <w:drawing>
          <wp:inline xmlns:a="http://schemas.openxmlformats.org/drawingml/2006/main" xmlns:pic="http://schemas.openxmlformats.org/drawingml/2006/picture">
            <wp:extent cx="5486400" cy="6112890"/>
            <wp:docPr id="7" name="Picture 7"/>
            <wp:cNvGraphicFramePr>
              <a:graphicFrameLocks noChangeAspect="1"/>
            </wp:cNvGraphicFramePr>
            <a:graphic>
              <a:graphicData uri="http://schemas.openxmlformats.org/drawingml/2006/picture">
                <pic:pic>
                  <pic:nvPicPr>
                    <pic:cNvPr id="0" name="forecast_physicians.png"/>
                    <pic:cNvPicPr/>
                  </pic:nvPicPr>
                  <pic:blipFill>
                    <a:blip r:embed="rId15"/>
                    <a:stretch>
                      <a:fillRect/>
                    </a:stretch>
                  </pic:blipFill>
                  <pic:spPr>
                    <a:xfrm>
                      <a:off x="0" y="0"/>
                      <a:ext cx="5486400" cy="6112890"/>
                    </a:xfrm>
                    <a:prstGeom prst="rect"/>
                  </pic:spPr>
                </pic:pic>
              </a:graphicData>
            </a:graphic>
          </wp:inline>
        </w:drawing>
      </w:r>
    </w:p>
    <w:p>
      <w:pPr>
        <w:spacing w:after="240" w:line="480" w:lineRule="auto"/>
        <w:jc w:val="left"/>
      </w:pPr>
      <w:r>
        <w:rPr>
          <w:rFonts w:ascii="Times New Roman" w:hAnsi="Times New Roman"/>
          <w:i/>
          <w:sz w:val="20"/>
        </w:rPr>
        <w:t>Figure 7. Projected physician counts for selected specialties, 2025–2034, based on linear trend extrapolation with 95% prediction intervals.</w:t>
      </w:r>
    </w:p>
    <w:p>
      <w:pPr>
        <w:jc w:val="center"/>
      </w:pPr>
      <w:r>
        <w:drawing>
          <wp:inline xmlns:a="http://schemas.openxmlformats.org/drawingml/2006/main" xmlns:pic="http://schemas.openxmlformats.org/drawingml/2006/picture">
            <wp:extent cx="5486400" cy="6110325"/>
            <wp:docPr id="8" name="Picture 8"/>
            <wp:cNvGraphicFramePr>
              <a:graphicFrameLocks noChangeAspect="1"/>
            </wp:cNvGraphicFramePr>
            <a:graphic>
              <a:graphicData uri="http://schemas.openxmlformats.org/drawingml/2006/picture">
                <pic:pic>
                  <pic:nvPicPr>
                    <pic:cNvPr id="0" name="forecast_facilities.png"/>
                    <pic:cNvPicPr/>
                  </pic:nvPicPr>
                  <pic:blipFill>
                    <a:blip r:embed="rId16"/>
                    <a:stretch>
                      <a:fillRect/>
                    </a:stretch>
                  </pic:blipFill>
                  <pic:spPr>
                    <a:xfrm>
                      <a:off x="0" y="0"/>
                      <a:ext cx="5486400" cy="6110325"/>
                    </a:xfrm>
                    <a:prstGeom prst="rect"/>
                  </pic:spPr>
                </pic:pic>
              </a:graphicData>
            </a:graphic>
          </wp:inline>
        </w:drawing>
      </w:r>
    </w:p>
    <w:p>
      <w:pPr>
        <w:spacing w:after="240" w:line="480" w:lineRule="auto"/>
        <w:jc w:val="left"/>
      </w:pPr>
      <w:r>
        <w:rPr>
          <w:rFonts w:ascii="Times New Roman" w:hAnsi="Times New Roman"/>
          <w:i/>
          <w:sz w:val="20"/>
        </w:rPr>
        <w:t>Figure 8. Projected facility counts for selected specialties, 2025–2034, based on linear trend extrapolation with 95% prediction intervals.</w:t>
      </w:r>
    </w:p>
    <w:p>
      <w:pPr>
        <w:jc w:val="center"/>
      </w:pPr>
      <w:r>
        <w:drawing>
          <wp:inline xmlns:a="http://schemas.openxmlformats.org/drawingml/2006/main" xmlns:pic="http://schemas.openxmlformats.org/drawingml/2006/picture">
            <wp:extent cx="5486400" cy="4521938"/>
            <wp:docPr id="9" name="Picture 9"/>
            <wp:cNvGraphicFramePr>
              <a:graphicFrameLocks noChangeAspect="1"/>
            </wp:cNvGraphicFramePr>
            <a:graphic>
              <a:graphicData uri="http://schemas.openxmlformats.org/drawingml/2006/picture">
                <pic:pic>
                  <pic:nvPicPr>
                    <pic:cNvPr id="0" name="forecast_trainees.png"/>
                    <pic:cNvPicPr/>
                  </pic:nvPicPr>
                  <pic:blipFill>
                    <a:blip r:embed="rId17"/>
                    <a:stretch>
                      <a:fillRect/>
                    </a:stretch>
                  </pic:blipFill>
                  <pic:spPr>
                    <a:xfrm>
                      <a:off x="0" y="0"/>
                      <a:ext cx="5486400" cy="4521938"/>
                    </a:xfrm>
                    <a:prstGeom prst="rect"/>
                  </pic:spPr>
                </pic:pic>
              </a:graphicData>
            </a:graphic>
          </wp:inline>
        </w:drawing>
      </w:r>
    </w:p>
    <w:p>
      <w:pPr>
        <w:spacing w:after="240" w:line="480" w:lineRule="auto"/>
        <w:jc w:val="left"/>
      </w:pPr>
      <w:r>
        <w:rPr>
          <w:rFonts w:ascii="Times New Roman" w:hAnsi="Times New Roman"/>
          <w:i/>
          <w:sz w:val="20"/>
        </w:rPr>
        <w:t>Figure 9. Projected specialist trainee enrolment for selected specialties, 2025–2034, based on linear trend extrapolation with 95% prediction intervals.</w:t>
      </w:r>
    </w:p>
    <w:p>
      <w:r>
        <w:br w:type="page"/>
      </w:r>
    </w:p>
    <w:p>
      <w:pPr>
        <w:pStyle w:val="Heading1"/>
      </w:pPr>
      <w:r>
        <w:rPr>
          <w:rFonts w:ascii="Times New Roman" w:hAnsi="Times New Roman"/>
          <w:color w:val="000000"/>
        </w:rPr>
        <w:t>Discussion</w:t>
      </w:r>
    </w:p>
    <w:p>
      <w:pPr>
        <w:pStyle w:val="Heading2"/>
      </w:pPr>
      <w:r>
        <w:rPr>
          <w:rFonts w:ascii="Times New Roman" w:hAnsi="Times New Roman"/>
          <w:color w:val="000000"/>
        </w:rPr>
        <w:t>Principal findings</w:t>
      </w:r>
    </w:p>
    <w:p>
      <w:pPr>
        <w:spacing w:after="120" w:line="480" w:lineRule="auto"/>
      </w:pPr>
      <w:r>
        <w:rPr>
          <w:rFonts w:ascii="Times New Roman" w:hAnsi="Times New Roman"/>
          <w:b w:val="0"/>
          <w:i w:val="0"/>
          <w:sz w:val="24"/>
        </w:rPr>
        <w:t>This study provides the first systematic, multi-specialty analysis of the temporal association between medical safety incidents and physician workforce dynamics. Using three complementary incident definitions and national administrative data from Japan, we found that incident reports are followed by reductions in specialty-specific physician supply, with an estimated lead time of 1–3 years and an effect duration (window period) of 4–5 years. Obstetrics and gynaecology showed the most consistent and strongest associations, corroborating previous findings from the Fukushima prosecution case,</w:t>
      </w:r>
      <w:r>
        <w:rPr>
          <w:rFonts w:ascii="Times New Roman" w:hAnsi="Times New Roman"/>
          <w:b w:val="0"/>
          <w:i w:val="0"/>
          <w:sz w:val="20"/>
          <w:vertAlign w:val="superscript"/>
        </w:rPr>
        <w:t>10,26</w:t>
      </w:r>
      <w:r>
        <w:rPr>
          <w:rFonts w:ascii="Times New Roman" w:hAnsi="Times New Roman"/>
          <w:b w:val="0"/>
          <w:i w:val="0"/>
          <w:sz w:val="24"/>
        </w:rPr>
        <w:t xml:space="preserve"> but extending these to a national, multi-definition framework.</w:t>
      </w:r>
    </w:p>
    <w:p>
      <w:pPr>
        <w:pStyle w:val="Heading2"/>
      </w:pPr>
      <w:r>
        <w:rPr>
          <w:rFonts w:ascii="Times New Roman" w:hAnsi="Times New Roman"/>
          <w:color w:val="000000"/>
        </w:rPr>
        <w:t>Comparison with existing literature</w:t>
      </w:r>
    </w:p>
    <w:p>
      <w:pPr>
        <w:spacing w:after="120" w:line="480" w:lineRule="auto"/>
      </w:pPr>
      <w:r>
        <w:rPr>
          <w:rFonts w:ascii="Times New Roman" w:hAnsi="Times New Roman"/>
          <w:b w:val="0"/>
          <w:i w:val="0"/>
          <w:sz w:val="24"/>
        </w:rPr>
        <w:t>The magnitude and direction of the association we observed for obstetrics and gynaecology is consistent with Morita’s finding of a 13% decrease in obstetricians following the 2006 prosecution,</w:t>
      </w:r>
      <w:r>
        <w:rPr>
          <w:rFonts w:ascii="Times New Roman" w:hAnsi="Times New Roman"/>
          <w:b w:val="0"/>
          <w:i w:val="0"/>
          <w:sz w:val="20"/>
          <w:vertAlign w:val="superscript"/>
        </w:rPr>
        <w:t>10</w:t>
      </w:r>
      <w:r>
        <w:rPr>
          <w:rFonts w:ascii="Times New Roman" w:hAnsi="Times New Roman"/>
          <w:b w:val="0"/>
          <w:i w:val="0"/>
          <w:sz w:val="24"/>
        </w:rPr>
        <w:t xml:space="preserve"> and with the broader literature on malpractice-driven specialty avoidance.</w:t>
      </w:r>
      <w:r>
        <w:rPr>
          <w:rFonts w:ascii="Times New Roman" w:hAnsi="Times New Roman"/>
          <w:b w:val="0"/>
          <w:i w:val="0"/>
          <w:sz w:val="20"/>
          <w:vertAlign w:val="superscript"/>
        </w:rPr>
        <w:t>1-3</w:t>
      </w:r>
      <w:r>
        <w:rPr>
          <w:rFonts w:ascii="Times New Roman" w:hAnsi="Times New Roman"/>
          <w:b w:val="0"/>
          <w:i w:val="0"/>
          <w:sz w:val="24"/>
        </w:rPr>
        <w:t xml:space="preserve"> Studdert and colleagues reported that 42% of physicians in high-risk specialties had restricted their practice in response to malpractice concerns,</w:t>
      </w:r>
      <w:r>
        <w:rPr>
          <w:rFonts w:ascii="Times New Roman" w:hAnsi="Times New Roman"/>
          <w:b w:val="0"/>
          <w:i w:val="0"/>
          <w:sz w:val="20"/>
          <w:vertAlign w:val="superscript"/>
        </w:rPr>
        <w:t>1</w:t>
      </w:r>
      <w:r>
        <w:rPr>
          <w:rFonts w:ascii="Times New Roman" w:hAnsi="Times New Roman"/>
          <w:b w:val="0"/>
          <w:i w:val="0"/>
          <w:sz w:val="24"/>
        </w:rPr>
        <w:t xml:space="preserve"> and Klick and Stratmann found that tort reforms increased the supply of physicians in high-risk specialties.</w:t>
      </w:r>
      <w:r>
        <w:rPr>
          <w:rFonts w:ascii="Times New Roman" w:hAnsi="Times New Roman"/>
          <w:b w:val="0"/>
          <w:i w:val="0"/>
          <w:sz w:val="20"/>
          <w:vertAlign w:val="superscript"/>
        </w:rPr>
        <w:t>4,27,28</w:t>
      </w:r>
    </w:p>
    <w:p>
      <w:pPr>
        <w:spacing w:after="120" w:line="480" w:lineRule="auto"/>
      </w:pPr>
      <w:r>
        <w:rPr>
          <w:rFonts w:ascii="Times New Roman" w:hAnsi="Times New Roman"/>
          <w:b w:val="0"/>
          <w:i w:val="0"/>
          <w:sz w:val="24"/>
        </w:rPr>
        <w:t>However, the present study extends this literature in several important ways. First, we simultaneously analysed 12 specialties, revealing that the phenomenon is not limited to obstetrics. The strong inverse associations observed for otolaryngology (r=−0.97), dermatology (r=−0.99), and urology (r=−0.94)—specialties not traditionally considered “high-risk” for malpractice—suggest that the workforce impact of safety incidents may be more widespread than previously recognised. Second, the explicit estimation of lead time and window period parameters is novel, and provides actionable inputs for workforce forecasting models. Third, the use of three complementary incident definitions (mandatory safety reporting, litigation, and composite) strengthens the triangulation of findings.</w:t>
      </w:r>
    </w:p>
    <w:p>
      <w:pPr>
        <w:spacing w:after="120" w:line="480" w:lineRule="auto"/>
      </w:pPr>
      <w:r>
        <w:rPr>
          <w:rFonts w:ascii="Times New Roman" w:hAnsi="Times New Roman"/>
          <w:b w:val="0"/>
          <w:i w:val="0"/>
          <w:sz w:val="24"/>
        </w:rPr>
        <w:t>The near-zero lag observed for facility counts, compared with the 1–3 year lag for physician counts, has a plausible mechanistic interpretation: facility closure or de-registration of a specialty is a more proximate and binary event (a decision to stop providing a service) than the gradual attrition of physicians from a specialty through retirement, career change, or reduced recruitment.</w:t>
      </w:r>
    </w:p>
    <w:p>
      <w:pPr>
        <w:pStyle w:val="Heading2"/>
      </w:pPr>
      <w:r>
        <w:rPr>
          <w:rFonts w:ascii="Times New Roman" w:hAnsi="Times New Roman"/>
          <w:color w:val="000000"/>
        </w:rPr>
        <w:t>Interpretation of segmented regression coefficients</w:t>
      </w:r>
    </w:p>
    <w:p>
      <w:pPr>
        <w:spacing w:after="120" w:line="480" w:lineRule="auto"/>
      </w:pPr>
      <w:r>
        <w:rPr>
          <w:rFonts w:ascii="Times New Roman" w:hAnsi="Times New Roman"/>
          <w:b w:val="0"/>
          <w:i w:val="0"/>
          <w:sz w:val="24"/>
        </w:rPr>
        <w:t>The positive incident effect coefficients observed in the ITS segmented regression models (table 2) require careful interpretation. These do not indicate that more incidents cause more physicians; rather, they reflect the challenge of disentangling contemporaneous trends in a setting where both incident reporting volume (increasing as the JMSR system matured after 2015) and physician counts for some specialties (driven by secular workforce expansion) were simultaneously increasing. The cross-correlation analysis, which removes linear trends before computing correlations at various lags, provides a more appropriate test of the hypothesised delayed inverse association and yielded results consistent with the expected direction. Future analyses using autoregressive integrated moving average (ARIMA) models with transfer functions, or incorporating exogenous covariates for system maturation, may better address this limitation.</w:t>
      </w:r>
    </w:p>
    <w:p>
      <w:pPr>
        <w:pStyle w:val="Heading2"/>
      </w:pPr>
      <w:r>
        <w:rPr>
          <w:rFonts w:ascii="Times New Roman" w:hAnsi="Times New Roman"/>
          <w:color w:val="000000"/>
        </w:rPr>
        <w:t>Directionality of causation: interpreting negative lag values</w:t>
      </w:r>
    </w:p>
    <w:p>
      <w:pPr>
        <w:spacing w:after="120" w:line="480" w:lineRule="auto"/>
      </w:pPr>
      <w:r>
        <w:rPr>
          <w:rFonts w:ascii="Times New Roman" w:hAnsi="Times New Roman"/>
          <w:b w:val="0"/>
          <w:i w:val="0"/>
          <w:sz w:val="24"/>
        </w:rPr>
        <w:t>The cross-correlation analysis revealed that several specialty-definition combinations yielded negative lag values (table 1). A negative lag indicates that the workforce outcome variable changed before the incident variable—that is, physician or trainee numbers declined before incident reports increased. This finding is important because it is consistent with a reverse causal pathway: workforce depletion may itself be a driver of safety incidents, rather than (or in addition to) incidents driving workforce decline.</w:t>
      </w:r>
    </w:p>
    <w:p>
      <w:pPr>
        <w:spacing w:after="120" w:line="480" w:lineRule="auto"/>
      </w:pPr>
      <w:r>
        <w:rPr>
          <w:rFonts w:ascii="Times New Roman" w:hAnsi="Times New Roman"/>
          <w:b w:val="0"/>
          <w:i w:val="0"/>
          <w:sz w:val="24"/>
        </w:rPr>
        <w:t>Anaesthesiology is a notable example. The −4 year lag against the composite incident definition (r = −0.959) suggests that reductions in the anaesthesiology workforce may have preceded the subsequent increase in reported incidents. This is mechanistically plausible: understaffed departments face higher per-physician caseloads, fatigue, and reduced supervision of trainees, all of which are established risk factors for adverse events.</w:t>
      </w:r>
      <w:r>
        <w:rPr>
          <w:rFonts w:ascii="Times New Roman" w:hAnsi="Times New Roman"/>
          <w:b w:val="0"/>
          <w:i w:val="0"/>
          <w:sz w:val="20"/>
          <w:vertAlign w:val="superscript"/>
        </w:rPr>
        <w:t>25,27</w:t>
      </w:r>
      <w:r>
        <w:rPr>
          <w:rFonts w:ascii="Times New Roman" w:hAnsi="Times New Roman"/>
          <w:b w:val="0"/>
          <w:i w:val="0"/>
          <w:sz w:val="24"/>
        </w:rPr>
        <w:t xml:space="preserve"> Similarly, the −3 year lag for otolaryngology trainees implies that declining trainee enrolment preceded rather than followed incident reports.</w:t>
      </w:r>
    </w:p>
    <w:p>
      <w:pPr>
        <w:spacing w:after="120" w:line="480" w:lineRule="auto"/>
      </w:pPr>
      <w:r>
        <w:rPr>
          <w:rFonts w:ascii="Times New Roman" w:hAnsi="Times New Roman"/>
          <w:b w:val="0"/>
          <w:i w:val="0"/>
          <w:sz w:val="24"/>
        </w:rPr>
        <w:t>These findings suggest a potentially bidirectional relationship between safety incidents and workforce dynamics. For specialties with positive lags (e.g. obstetrics and gynaecology, +3 years), the temporal sequence is consistent with the hypothesised ‘incident → avoidance’ pathway: high-profile incidents deter entry and accelerate exit, leading to workforce contraction after a delay. For specialties with negative lags, the reverse pathway—‘workforce shortage → overwork → increased incidents’—may be operative. A vicious cycle in which both pathways reinforce each other is also plausible: workforce shortages lead to more incidents, which further deter recruitment, leading to further shortages.</w:t>
      </w:r>
    </w:p>
    <w:p>
      <w:pPr>
        <w:spacing w:after="120" w:line="480" w:lineRule="auto"/>
      </w:pPr>
      <w:r>
        <w:rPr>
          <w:rFonts w:ascii="Times New Roman" w:hAnsi="Times New Roman"/>
          <w:b w:val="0"/>
          <w:i w:val="0"/>
          <w:sz w:val="24"/>
        </w:rPr>
        <w:t>Distinguishing these pathways has direct policy implications. If the dominant direction is incident → avoidance, interventions should focus on improving public perception and professional support after incidents. If the dominant direction is shortage → incidents, workforce augmentation and workload reduction become the priority. The coexistence of both positive and negative lags across specialties in our data suggests that both mechanisms may be active, and that the relative importance may vary by specialty context.</w:t>
      </w:r>
    </w:p>
    <w:p>
      <w:pPr>
        <w:pStyle w:val="Heading2"/>
      </w:pPr>
      <w:r>
        <w:rPr>
          <w:rFonts w:ascii="Times New Roman" w:hAnsi="Times New Roman"/>
          <w:color w:val="000000"/>
        </w:rPr>
        <w:t>Strengths and limitations</w:t>
      </w:r>
    </w:p>
    <w:p>
      <w:pPr>
        <w:spacing w:after="120" w:line="480" w:lineRule="auto"/>
      </w:pPr>
      <w:r>
        <w:rPr>
          <w:rFonts w:ascii="Times New Roman" w:hAnsi="Times New Roman"/>
          <w:b w:val="0"/>
          <w:i w:val="0"/>
          <w:sz w:val="24"/>
        </w:rPr>
        <w:t>Strengths: This study uses population-level data from mandatory national registries, eliminating selection bias in outcome ascertainment. The analysis covers 12 specialties with three incident definitions over periods of up to 20 years, providing a comprehensive view. The explicit estimation of lead time and window period parameters is methodologically novel and practically useful for workforce planning.</w:t>
      </w:r>
    </w:p>
    <w:p>
      <w:pPr>
        <w:spacing w:after="120" w:line="480" w:lineRule="auto"/>
      </w:pPr>
      <w:r>
        <w:rPr>
          <w:rFonts w:ascii="Times New Roman" w:hAnsi="Times New Roman"/>
          <w:b w:val="0"/>
          <w:i w:val="0"/>
          <w:sz w:val="24"/>
        </w:rPr>
        <w:t>Limitations: Several important limitations should be acknowledged. First, the JMSR data series begins in 2015, providing only 11 annual data points—below the recommended minimum of approximately 12 pre-intervention and 12 post-intervention time points for ITS analysis.</w:t>
      </w:r>
      <w:r>
        <w:rPr>
          <w:rFonts w:ascii="Times New Roman" w:hAnsi="Times New Roman"/>
          <w:b w:val="0"/>
          <w:i w:val="0"/>
          <w:sz w:val="20"/>
          <w:vertAlign w:val="superscript"/>
        </w:rPr>
        <w:t>16</w:t>
      </w:r>
      <w:r>
        <w:rPr>
          <w:rFonts w:ascii="Times New Roman" w:hAnsi="Times New Roman"/>
          <w:b w:val="0"/>
          <w:i w:val="0"/>
          <w:sz w:val="24"/>
        </w:rPr>
        <w:t xml:space="preserve"> The litigation series, while longer (2004–2023), has its own limitations in coverage. Second, the biennial physician survey data required linear interpolation to annual values, which may smooth short-term fluctuations. Third, the ITS segmented regression approach assumes that the intervention (peak incident year) is exogenous and discrete, whereas in reality, incident reporting is continuous and endogenous to system-level changes (such as the establishment of the JMSR itself). Fourth, we cannot establish causality. The observation of both positive and negative lag values across specialties indicates that the causal direction may not be uniform, and unmeasured confounders—including demographic shifts, changes in medical school capacity, remuneration differentials, lifestyle preferences, and policy interventions such as the 2004 introduction of the new postgraduate clinical training system—may explain some or all of the observed associations. Fifth, the positive direction of the contemporaneous regression coefficients highlights the difficulty of separating the incident signal from secular trends in a relatively short time series. Sixth, the specialist trainee data cover only 2018–2025 (8 years), severely limiting statistical power for this outcome.</w:t>
      </w:r>
    </w:p>
    <w:p>
      <w:pPr>
        <w:pStyle w:val="Heading2"/>
      </w:pPr>
      <w:r>
        <w:rPr>
          <w:rFonts w:ascii="Times New Roman" w:hAnsi="Times New Roman"/>
          <w:color w:val="000000"/>
        </w:rPr>
        <w:t>Policy implications</w:t>
      </w:r>
    </w:p>
    <w:p>
      <w:pPr>
        <w:spacing w:after="120" w:line="480" w:lineRule="auto"/>
      </w:pPr>
      <w:r>
        <w:rPr>
          <w:rFonts w:ascii="Times New Roman" w:hAnsi="Times New Roman"/>
          <w:b w:val="0"/>
          <w:i w:val="0"/>
          <w:sz w:val="24"/>
        </w:rPr>
        <w:t>Despite these limitations, our findings have practical implications for workforce planning. The estimated lead time of 1–3 years suggests a window of opportunity for policy intervention between the occurrence of a high-profile safety incident and its downstream workforce effects. The estimated window period of 4–5 years indicates that effects are not permanent but may persist long enough to cause meaningful service disruption, particularly in specialties already experiencing workforce contraction (general surgery, obstetrics and gynaecology). Systems that can monitor incident reporting trends in near-real time could use these parameters to anticipate and mitigate workforce disruptions through targeted recruitment incentives, workload redistribution, or public communication strategies.</w:t>
      </w:r>
    </w:p>
    <w:p>
      <w:pPr>
        <w:spacing w:after="120" w:line="480" w:lineRule="auto"/>
      </w:pPr>
      <w:r>
        <w:rPr>
          <w:rFonts w:ascii="Times New Roman" w:hAnsi="Times New Roman"/>
          <w:b w:val="0"/>
          <w:i w:val="0"/>
          <w:sz w:val="24"/>
        </w:rPr>
        <w:t>The divergence between physician count trends (generally increasing or stable) and facility count trends (generally decreasing) for most specialties indicates a consolidation of care into fewer, larger facilities. This pattern has implications for geographic access to care, particularly in rural areas.</w:t>
      </w:r>
    </w:p>
    <w:p>
      <w:pPr>
        <w:pStyle w:val="Heading1"/>
      </w:pPr>
      <w:r>
        <w:rPr>
          <w:rFonts w:ascii="Times New Roman" w:hAnsi="Times New Roman"/>
          <w:color w:val="000000"/>
        </w:rPr>
        <w:t>Conclusions</w:t>
      </w:r>
    </w:p>
    <w:p>
      <w:pPr>
        <w:spacing w:after="120" w:line="480" w:lineRule="auto"/>
      </w:pPr>
      <w:r>
        <w:rPr>
          <w:rFonts w:ascii="Times New Roman" w:hAnsi="Times New Roman"/>
          <w:b w:val="0"/>
          <w:i w:val="0"/>
          <w:sz w:val="24"/>
        </w:rPr>
        <w:t>Medical safety incidents in Japan are followed by measurable reductions in specialty-specific physician supply, with a lead time of 1–3 years and an effect duration of 4–5 years. Obstetrics and gynaecology and general surgery are the most affected specialties. These temporal parameters can be incorporated into workforce forecasting models to enable proactive planning. Further research using longer time series, individual-level panel data, and causal inference methods is needed to confirm these associations and elucidate the underlying mechanisms.</w:t>
      </w:r>
    </w:p>
    <w:p>
      <w:r>
        <w:br w:type="page"/>
      </w:r>
    </w:p>
    <w:p>
      <w:pPr>
        <w:pStyle w:val="Heading1"/>
      </w:pPr>
      <w:r>
        <w:rPr>
          <w:rFonts w:ascii="Times New Roman" w:hAnsi="Times New Roman"/>
          <w:color w:val="000000"/>
        </w:rPr>
        <w:t>References</w:t>
      </w:r>
    </w:p>
    <w:p>
      <w:pPr>
        <w:spacing w:line="480" w:lineRule="auto" w:after="40"/>
      </w:pPr>
      <w:r>
        <w:rPr>
          <w:rFonts w:ascii="Times New Roman" w:hAnsi="Times New Roman"/>
          <w:sz w:val="20"/>
        </w:rPr>
        <w:t>1. Studdert DM, Mello MM, Sage WM, et al. Defensive medicine among high-risk specialist physicians in a volatile malpractice environment. JAMA 2005;293:2609-17.</w:t>
      </w:r>
    </w:p>
    <w:p>
      <w:pPr>
        <w:spacing w:line="480" w:lineRule="auto" w:after="40"/>
      </w:pPr>
      <w:r>
        <w:rPr>
          <w:rFonts w:ascii="Times New Roman" w:hAnsi="Times New Roman"/>
          <w:sz w:val="20"/>
        </w:rPr>
        <w:t>2. Mello MM, Studdert DM, DesRoches CM, et al. Caring for patients in a malpractice crisis: physician satisfaction and quality of care. Health Aff (Millwood) 2004;23:42-53.</w:t>
      </w:r>
    </w:p>
    <w:p>
      <w:pPr>
        <w:spacing w:line="480" w:lineRule="auto" w:after="40"/>
      </w:pPr>
      <w:r>
        <w:rPr>
          <w:rFonts w:ascii="Times New Roman" w:hAnsi="Times New Roman"/>
          <w:sz w:val="20"/>
        </w:rPr>
        <w:t>3. Kessler D, McClellan MB. Do doctors practice defensive medicine? Q J Econ 1996;111:353-90.</w:t>
      </w:r>
    </w:p>
    <w:p>
      <w:pPr>
        <w:spacing w:line="480" w:lineRule="auto" w:after="40"/>
      </w:pPr>
      <w:r>
        <w:rPr>
          <w:rFonts w:ascii="Times New Roman" w:hAnsi="Times New Roman"/>
          <w:sz w:val="20"/>
        </w:rPr>
        <w:t>4. Klick J, Stratmann T. Medical malpractice reform and physicians in high-risk specialties. J Legal Stud 2007;36:S121-42.</w:t>
      </w:r>
    </w:p>
    <w:p>
      <w:pPr>
        <w:spacing w:line="480" w:lineRule="auto" w:after="40"/>
      </w:pPr>
      <w:r>
        <w:rPr>
          <w:rFonts w:ascii="Times New Roman" w:hAnsi="Times New Roman"/>
          <w:sz w:val="20"/>
        </w:rPr>
        <w:t>5. Frakes M. Defensive medicine and obstetric practices. J Empir Legal Stud 2012;9:457-81.</w:t>
      </w:r>
    </w:p>
    <w:p>
      <w:pPr>
        <w:spacing w:line="480" w:lineRule="auto" w:after="40"/>
      </w:pPr>
      <w:r>
        <w:rPr>
          <w:rFonts w:ascii="Times New Roman" w:hAnsi="Times New Roman"/>
          <w:sz w:val="20"/>
        </w:rPr>
        <w:t>6. Frakes MD, Gruber J, Jena AB. Is great information good enough? Evidence from physicians as patients. J Health Econ 2021;75:102406.</w:t>
      </w:r>
    </w:p>
    <w:p>
      <w:pPr>
        <w:spacing w:line="480" w:lineRule="auto" w:after="40"/>
      </w:pPr>
      <w:r>
        <w:rPr>
          <w:rFonts w:ascii="Times New Roman" w:hAnsi="Times New Roman"/>
          <w:sz w:val="20"/>
        </w:rPr>
        <w:t>7. Nagamatsu S, Kami M, Nakata Y. Healthcare safety committee in Japan: mandatory accountability reporting system and punishment. Curr Opin Anaesthesiol 2009;22:199-206.</w:t>
      </w:r>
    </w:p>
    <w:p>
      <w:pPr>
        <w:spacing w:line="480" w:lineRule="auto" w:after="40"/>
      </w:pPr>
      <w:r>
        <w:rPr>
          <w:rFonts w:ascii="Times New Roman" w:hAnsi="Times New Roman"/>
          <w:sz w:val="20"/>
        </w:rPr>
        <w:t>8. Hiyama T, Yoshihara M, Tanaka S, et al. Defensive medicine practices among gastroenterologists in Japan. World J Gastroenterol 2006;12:7671-5.</w:t>
      </w:r>
    </w:p>
    <w:p>
      <w:pPr>
        <w:spacing w:line="480" w:lineRule="auto" w:after="40"/>
      </w:pPr>
      <w:r>
        <w:rPr>
          <w:rFonts w:ascii="Times New Roman" w:hAnsi="Times New Roman"/>
          <w:sz w:val="20"/>
        </w:rPr>
        <w:t>9. Ishikawa T. Distribution and retention of obstetrician-gynecologists in Japan: a longitudinal study, 1996–2016. Nihon Iji Shimpo 2021. [in Japanese]</w:t>
      </w:r>
    </w:p>
    <w:p>
      <w:pPr>
        <w:spacing w:line="480" w:lineRule="auto" w:after="40"/>
      </w:pPr>
      <w:r>
        <w:rPr>
          <w:rFonts w:ascii="Times New Roman" w:hAnsi="Times New Roman"/>
          <w:sz w:val="20"/>
        </w:rPr>
        <w:t>10. Morita H. Criminal prosecution and physician supply. Int Rev Law Econ 2018;55:1-11.</w:t>
      </w:r>
    </w:p>
    <w:p>
      <w:pPr>
        <w:spacing w:line="480" w:lineRule="auto" w:after="40"/>
      </w:pPr>
      <w:r>
        <w:rPr>
          <w:rFonts w:ascii="Times New Roman" w:hAnsi="Times New Roman"/>
          <w:sz w:val="20"/>
        </w:rPr>
        <w:t>11. Japan Medical Safety Research Organisation. Annual report on medical accident investigation. Tokyo: JMSR; 2025. Available from: https://www.medsafe.or.jp/</w:t>
      </w:r>
    </w:p>
    <w:p>
      <w:pPr>
        <w:spacing w:line="480" w:lineRule="auto" w:after="40"/>
      </w:pPr>
      <w:r>
        <w:rPr>
          <w:rFonts w:ascii="Times New Roman" w:hAnsi="Times New Roman"/>
          <w:sz w:val="20"/>
        </w:rPr>
        <w:t>12. Supreme Court of Japan. Annual report of judicial statistics: medical malpractice litigation. Tokyo: Supreme Court; 2024. [in Japanese]</w:t>
      </w:r>
    </w:p>
    <w:p>
      <w:pPr>
        <w:spacing w:line="480" w:lineRule="auto" w:after="40"/>
      </w:pPr>
      <w:r>
        <w:rPr>
          <w:rFonts w:ascii="Times New Roman" w:hAnsi="Times New Roman"/>
          <w:sz w:val="20"/>
        </w:rPr>
        <w:t>13. Taniguchi K, Watari T, Nagoshi K. Characteristics and trends of medical malpractice claims in Japan between 2006 and 2021. PLoS One 2024;19:e0296155.</w:t>
      </w:r>
    </w:p>
    <w:p>
      <w:pPr>
        <w:spacing w:line="480" w:lineRule="auto" w:after="40"/>
      </w:pPr>
      <w:r>
        <w:rPr>
          <w:rFonts w:ascii="Times New Roman" w:hAnsi="Times New Roman"/>
          <w:sz w:val="20"/>
        </w:rPr>
        <w:t>14. Benchimol EI, Smeeth L, Guttmann A, et al. The REporting of studies Conducted using Observational Routinely-collected health Data (RECORD) statement. PLoS Med 2015;12:e1001885.</w:t>
      </w:r>
    </w:p>
    <w:p>
      <w:pPr>
        <w:spacing w:line="480" w:lineRule="auto" w:after="40"/>
      </w:pPr>
      <w:r>
        <w:rPr>
          <w:rFonts w:ascii="Times New Roman" w:hAnsi="Times New Roman"/>
          <w:sz w:val="20"/>
        </w:rPr>
        <w:t>15. Langan SM, Schmidt SAJ, Wing K, et al. The reporting of studies conducted using observational routinely collected health data statement for pharmacoepidemiology (RECORD-PE). BMJ 2018;363:k3532.</w:t>
      </w:r>
    </w:p>
    <w:p>
      <w:pPr>
        <w:spacing w:line="480" w:lineRule="auto" w:after="40"/>
      </w:pPr>
      <w:r>
        <w:rPr>
          <w:rFonts w:ascii="Times New Roman" w:hAnsi="Times New Roman"/>
          <w:sz w:val="20"/>
        </w:rPr>
        <w:t>16. Cochrane Effective Practice and Organisation of Care (EPOC). Interrupted time series (ITS) analyses. EPOC resources for review authors. 2017.</w:t>
      </w:r>
    </w:p>
    <w:p>
      <w:pPr>
        <w:spacing w:line="480" w:lineRule="auto" w:after="40"/>
      </w:pPr>
      <w:r>
        <w:rPr>
          <w:rFonts w:ascii="Times New Roman" w:hAnsi="Times New Roman"/>
          <w:sz w:val="20"/>
        </w:rPr>
        <w:t>17. Ministry of Health, Labour and Welfare. Survey of physicians, dentists, and pharmacists. Tokyo: MHLW; 2023. [in Japanese]</w:t>
      </w:r>
    </w:p>
    <w:p>
      <w:pPr>
        <w:spacing w:line="480" w:lineRule="auto" w:after="40"/>
      </w:pPr>
      <w:r>
        <w:rPr>
          <w:rFonts w:ascii="Times New Roman" w:hAnsi="Times New Roman"/>
          <w:sz w:val="20"/>
        </w:rPr>
        <w:t>18. Ministry of Health, Labour and Welfare. Survey of medical institutions (dynamic survey). Tokyo: MHLW; 2024. [in Japanese]</w:t>
      </w:r>
    </w:p>
    <w:p>
      <w:pPr>
        <w:spacing w:line="480" w:lineRule="auto" w:after="40"/>
      </w:pPr>
      <w:r>
        <w:rPr>
          <w:rFonts w:ascii="Times New Roman" w:hAnsi="Times New Roman"/>
          <w:sz w:val="20"/>
        </w:rPr>
        <w:t>19. Japan Board of Medical Specialties. Specialist trainee registration statistics. Tokyo: JBMS; 2025. [in Japanese]</w:t>
      </w:r>
    </w:p>
    <w:p>
      <w:pPr>
        <w:spacing w:line="480" w:lineRule="auto" w:after="40"/>
      </w:pPr>
      <w:r>
        <w:rPr>
          <w:rFonts w:ascii="Times New Roman" w:hAnsi="Times New Roman"/>
          <w:sz w:val="20"/>
        </w:rPr>
        <w:t>20. Penfold RB, Zhang F. Use of interrupted time series analysis in evaluating health care quality improvements. Acad Pediatr 2013;13:S38-44.</w:t>
      </w:r>
    </w:p>
    <w:p>
      <w:pPr>
        <w:spacing w:line="480" w:lineRule="auto" w:after="40"/>
      </w:pPr>
      <w:r>
        <w:rPr>
          <w:rFonts w:ascii="Times New Roman" w:hAnsi="Times New Roman"/>
          <w:sz w:val="20"/>
        </w:rPr>
        <w:t>21. Hategeka C, Ruton H, Karamouzian M, et al. Use of interrupted time series methods in the evaluation of health system quality improvement interventions: a methodological systematic review. BMJ Glob Health 2020;5:e003567.</w:t>
      </w:r>
    </w:p>
    <w:p>
      <w:pPr>
        <w:spacing w:line="480" w:lineRule="auto" w:after="40"/>
      </w:pPr>
      <w:r>
        <w:rPr>
          <w:rFonts w:ascii="Times New Roman" w:hAnsi="Times New Roman"/>
          <w:sz w:val="20"/>
        </w:rPr>
        <w:t>22. Turner SL, Karahalios A, Forbes AB, et al. Comparison of six statistical methods for interrupted time series studies: empirical evaluation of 190 published series. BMC Med Res Methodol 2021;21:134.</w:t>
      </w:r>
    </w:p>
    <w:p>
      <w:pPr>
        <w:spacing w:line="480" w:lineRule="auto" w:after="40"/>
      </w:pPr>
      <w:r>
        <w:rPr>
          <w:rFonts w:ascii="Times New Roman" w:hAnsi="Times New Roman"/>
          <w:sz w:val="20"/>
        </w:rPr>
        <w:t>23. Harris CR, Millman KJ, van der Walt SJ, et al. Array programming with NumPy. Nature 2020;585:357-62.</w:t>
      </w:r>
    </w:p>
    <w:p>
      <w:pPr>
        <w:spacing w:line="480" w:lineRule="auto" w:after="40"/>
      </w:pPr>
      <w:r>
        <w:rPr>
          <w:rFonts w:ascii="Times New Roman" w:hAnsi="Times New Roman"/>
          <w:sz w:val="20"/>
        </w:rPr>
        <w:t>24. Virtanen P, Gommers R, Oliphant TE, et al. SciPy 1.0: fundamental algorithms for scientific computing in Python. Nat Methods 2020;17:261-72.</w:t>
      </w:r>
    </w:p>
    <w:p>
      <w:pPr>
        <w:spacing w:line="480" w:lineRule="auto" w:after="40"/>
      </w:pPr>
      <w:r>
        <w:rPr>
          <w:rFonts w:ascii="Times New Roman" w:hAnsi="Times New Roman"/>
          <w:sz w:val="20"/>
        </w:rPr>
        <w:t>25. Seabold S, Perktold J. Statsmodels: econometric and statistical modeling with Python. Proceedings of the 9th Python in Science Conference. 2010:92-6.</w:t>
      </w:r>
    </w:p>
    <w:p>
      <w:pPr>
        <w:spacing w:line="480" w:lineRule="auto" w:after="40"/>
      </w:pPr>
      <w:r>
        <w:rPr>
          <w:rFonts w:ascii="Times New Roman" w:hAnsi="Times New Roman"/>
          <w:sz w:val="20"/>
        </w:rPr>
        <w:t>26. Higuchi A, Takita M, Tanimoto T, et al. Long-term impact of Japan’s nuclear plant accident on deployment of physicians in Fukushima. Preprint. SSRN. 2020. doi:10.2139/ssrn.3710618.</w:t>
      </w:r>
    </w:p>
    <w:p>
      <w:pPr>
        <w:spacing w:line="480" w:lineRule="auto" w:after="40"/>
      </w:pPr>
      <w:r>
        <w:rPr>
          <w:rFonts w:ascii="Times New Roman" w:hAnsi="Times New Roman"/>
          <w:sz w:val="20"/>
        </w:rPr>
        <w:t>27. Currie J, MacLeod WB. First do no harm? Tort reform and birth outcomes. Q J Econ 2008;123:795-830.</w:t>
      </w:r>
    </w:p>
    <w:p>
      <w:pPr>
        <w:spacing w:line="480" w:lineRule="auto" w:after="40"/>
      </w:pPr>
      <w:r>
        <w:rPr>
          <w:rFonts w:ascii="Times New Roman" w:hAnsi="Times New Roman"/>
          <w:sz w:val="20"/>
        </w:rPr>
        <w:t>28. Iizuka T. Does higher malpractice pressure deter medical errors? J Law Econ 2013;56:161-88.</w:t>
      </w:r>
    </w:p>
    <w:p>
      <w:r>
        <w:br w:type="page"/>
      </w:r>
    </w:p>
    <w:p>
      <w:pPr>
        <w:pStyle w:val="Heading1"/>
      </w:pPr>
      <w:r>
        <w:rPr>
          <w:rFonts w:ascii="Times New Roman" w:hAnsi="Times New Roman"/>
          <w:color w:val="000000"/>
        </w:rPr>
        <w:t>Declarations</w:t>
      </w:r>
    </w:p>
    <w:p>
      <w:pPr>
        <w:pStyle w:val="Heading2"/>
      </w:pPr>
      <w:r>
        <w:rPr>
          <w:rFonts w:ascii="Times New Roman" w:hAnsi="Times New Roman"/>
          <w:color w:val="000000"/>
        </w:rPr>
        <w:t>Funding</w:t>
      </w:r>
    </w:p>
    <w:p>
      <w:pPr>
        <w:spacing w:after="120" w:line="480" w:lineRule="auto"/>
      </w:pPr>
      <w:r>
        <w:rPr>
          <w:rFonts w:ascii="Times New Roman" w:hAnsi="Times New Roman"/>
          <w:b w:val="0"/>
          <w:i w:val="0"/>
          <w:sz w:val="24"/>
        </w:rPr>
        <w:t>[To be completed by authors]</w:t>
      </w:r>
    </w:p>
    <w:p>
      <w:pPr>
        <w:pStyle w:val="Heading2"/>
      </w:pPr>
      <w:r>
        <w:rPr>
          <w:rFonts w:ascii="Times New Roman" w:hAnsi="Times New Roman"/>
          <w:color w:val="000000"/>
        </w:rPr>
        <w:t>Competing interests</w:t>
      </w:r>
    </w:p>
    <w:p>
      <w:pPr>
        <w:spacing w:after="120" w:line="480" w:lineRule="auto"/>
      </w:pPr>
      <w:r>
        <w:rPr>
          <w:rFonts w:ascii="Times New Roman" w:hAnsi="Times New Roman"/>
          <w:b w:val="0"/>
          <w:i w:val="0"/>
          <w:sz w:val="24"/>
        </w:rPr>
        <w:t>All authors have completed the International Committee of Medical Journal Editors (ICMJE) uniform disclosure form at www.icmje.org/disclosure-of-interest/ and declare: no support from any organisation for the submitted work; no financial relationships with any organisations that might have an interest in the submitted work in the previous three years; no other relationships or activities that could appear to have influenced the submitted work.</w:t>
      </w:r>
    </w:p>
    <w:p>
      <w:pPr>
        <w:pStyle w:val="Heading2"/>
      </w:pPr>
      <w:r>
        <w:rPr>
          <w:rFonts w:ascii="Times New Roman" w:hAnsi="Times New Roman"/>
          <w:color w:val="000000"/>
        </w:rPr>
        <w:t>Ethical approval</w:t>
      </w:r>
    </w:p>
    <w:p>
      <w:pPr>
        <w:spacing w:after="120" w:line="480" w:lineRule="auto"/>
      </w:pPr>
      <w:r>
        <w:rPr>
          <w:rFonts w:ascii="Times New Roman" w:hAnsi="Times New Roman"/>
          <w:b w:val="0"/>
          <w:i w:val="0"/>
          <w:sz w:val="24"/>
        </w:rPr>
        <w:t>This study used publicly available, anonymised, aggregate-level administrative data. No individual-level patient or physician data were accessed. Ethical approval was not required.</w:t>
      </w:r>
    </w:p>
    <w:p>
      <w:pPr>
        <w:pStyle w:val="Heading2"/>
      </w:pPr>
      <w:r>
        <w:rPr>
          <w:rFonts w:ascii="Times New Roman" w:hAnsi="Times New Roman"/>
          <w:color w:val="000000"/>
        </w:rPr>
        <w:t>Data sharing</w:t>
      </w:r>
    </w:p>
    <w:p>
      <w:pPr>
        <w:spacing w:after="120" w:line="480" w:lineRule="auto"/>
      </w:pPr>
      <w:r>
        <w:rPr>
          <w:rFonts w:ascii="Times New Roman" w:hAnsi="Times New Roman"/>
          <w:b w:val="0"/>
          <w:i w:val="0"/>
          <w:sz w:val="24"/>
        </w:rPr>
        <w:t>The analysis code and aggregated datasets used in this study are available at https://github.com/bougtoir/medical-accident-its-analysis. The original data sources are publicly available from the Japan Medical Safety Research Organisation, the Supreme Court of Japan, and the Ministry of Health, Labour and Welfare.</w:t>
      </w:r>
    </w:p>
    <w:p>
      <w:pPr>
        <w:pStyle w:val="Heading2"/>
      </w:pPr>
      <w:r>
        <w:rPr>
          <w:rFonts w:ascii="Times New Roman" w:hAnsi="Times New Roman"/>
          <w:color w:val="000000"/>
        </w:rPr>
        <w:t>Transparency declaration</w:t>
      </w:r>
    </w:p>
    <w:p>
      <w:pPr>
        <w:spacing w:after="120" w:line="480" w:lineRule="auto"/>
      </w:pPr>
      <w:r>
        <w:rPr>
          <w:rFonts w:ascii="Times New Roman" w:hAnsi="Times New Roman"/>
          <w:b w:val="0"/>
          <w:i w:val="0"/>
          <w:sz w:val="24"/>
        </w:rPr>
        <w:t>The lead author (the manuscript’s guarantor) affirms that the manuscript is an honest, accurate, and transparent account of the study being reported; that no important aspects of the study have been omitted; and that any discrepancies from the study as originally planned have been explained.</w:t>
      </w:r>
    </w:p>
    <w:p>
      <w:pPr>
        <w:pStyle w:val="Heading2"/>
      </w:pPr>
      <w:r>
        <w:rPr>
          <w:rFonts w:ascii="Times New Roman" w:hAnsi="Times New Roman"/>
          <w:color w:val="000000"/>
        </w:rPr>
        <w:t>Dissemination to participants and related patient and public communities</w:t>
      </w:r>
    </w:p>
    <w:p>
      <w:pPr>
        <w:spacing w:after="120" w:line="480" w:lineRule="auto"/>
      </w:pPr>
      <w:r>
        <w:rPr>
          <w:rFonts w:ascii="Times New Roman" w:hAnsi="Times New Roman"/>
          <w:b w:val="0"/>
          <w:i w:val="0"/>
          <w:sz w:val="24"/>
        </w:rPr>
        <w:t>The results of this study will be made available to relevant stakeholders including the Japan Medical Safety Research Organisation and professional medical societies.</w:t>
      </w:r>
    </w:p>
    <w:p>
      <w:pPr>
        <w:pStyle w:val="Heading2"/>
      </w:pPr>
      <w:r>
        <w:rPr>
          <w:rFonts w:ascii="Times New Roman" w:hAnsi="Times New Roman"/>
          <w:color w:val="000000"/>
        </w:rPr>
        <w:t>Provenance and peer review</w:t>
      </w:r>
    </w:p>
    <w:p>
      <w:pPr>
        <w:spacing w:after="120" w:line="480" w:lineRule="auto"/>
      </w:pPr>
      <w:r>
        <w:rPr>
          <w:rFonts w:ascii="Times New Roman" w:hAnsi="Times New Roman"/>
          <w:b w:val="0"/>
          <w:i w:val="0"/>
          <w:sz w:val="24"/>
        </w:rPr>
        <w:t>Not commissioned; externally peer reviewed.</w:t>
      </w:r>
    </w:p>
    <w:p>
      <w:r>
        <w:br w:type="page"/>
      </w:r>
    </w:p>
    <w:p>
      <w:pPr>
        <w:pStyle w:val="Heading1"/>
      </w:pPr>
      <w:r>
        <w:rPr>
          <w:rFonts w:ascii="Times New Roman" w:hAnsi="Times New Roman"/>
          <w:color w:val="000000"/>
        </w:rPr>
        <w:t>Supplementary Materials</w:t>
      </w:r>
    </w:p>
    <w:p>
      <w:pPr>
        <w:pStyle w:val="Heading2"/>
      </w:pPr>
      <w:r>
        <w:rPr>
          <w:rFonts w:ascii="Times New Roman" w:hAnsi="Times New Roman"/>
          <w:color w:val="000000"/>
        </w:rPr>
        <w:t>Supplementary Table S1. Completed RECORD Checklist</w:t>
      </w:r>
    </w:p>
    <w:p>
      <w:pPr>
        <w:spacing w:after="240" w:line="480" w:lineRule="auto"/>
      </w:pPr>
      <w:r>
        <w:rPr>
          <w:rFonts w:ascii="Times New Roman" w:hAnsi="Times New Roman"/>
          <w:b w:val="0"/>
          <w:i/>
          <w:sz w:val="24"/>
        </w:rPr>
        <w:t>The RECORD statement extends the STROBE checklist for observational studies conducted using routinely collected health data. Items are numbered per the RECORD guideline (Benchimol et al., PLoS Med 2015;12:e1001885).</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b/>
                <w:sz w:val="16"/>
              </w:rPr>
              <w:t>Item No.</w:t>
            </w:r>
          </w:p>
        </w:tc>
        <w:tc>
          <w:tcPr>
            <w:tcW w:type="dxa" w:w="3120"/>
          </w:tcPr>
          <w:p>
            <w:pPr>
              <w:jc w:val="center"/>
            </w:pPr>
            <w:r/>
            <w:r>
              <w:rPr>
                <w:rFonts w:ascii="Times New Roman" w:hAnsi="Times New Roman"/>
                <w:b/>
                <w:sz w:val="16"/>
              </w:rPr>
              <w:t>RECORD / STROBE Item</w:t>
            </w:r>
          </w:p>
        </w:tc>
        <w:tc>
          <w:tcPr>
            <w:tcW w:type="dxa" w:w="3120"/>
          </w:tcPr>
          <w:p>
            <w:pPr>
              <w:jc w:val="center"/>
            </w:pPr>
            <w:r/>
            <w:r>
              <w:rPr>
                <w:rFonts w:ascii="Times New Roman" w:hAnsi="Times New Roman"/>
                <w:b/>
                <w:sz w:val="16"/>
              </w:rPr>
              <w:t>Reported on page / section</w:t>
            </w:r>
          </w:p>
        </w:tc>
      </w:tr>
      <w:tr>
        <w:tc>
          <w:tcPr>
            <w:tcW w:type="dxa" w:w="3120"/>
          </w:tcPr>
          <w:p>
            <w:r/>
            <w:r>
              <w:rPr>
                <w:rFonts w:ascii="Times New Roman" w:hAnsi="Times New Roman"/>
                <w:b/>
                <w:sz w:val="16"/>
              </w:rPr>
              <w:t>Title and abstract</w:t>
            </w:r>
          </w:p>
        </w:tc>
        <w:tc>
          <w:tcPr>
            <w:tcW w:type="dxa" w:w="3120"/>
          </w:tcPr>
          <w:p>
            <w:r/>
            <w:r>
              <w:rPr>
                <w:rFonts w:ascii="Times New Roman" w:hAnsi="Times New Roman"/>
                <w:sz w:val="16"/>
              </w:rPr>
            </w:r>
          </w:p>
        </w:tc>
        <w:tc>
          <w:tcPr>
            <w:tcW w:type="dxa" w:w="3120"/>
          </w:tcPr>
          <w:p>
            <w:r/>
            <w:r>
              <w:rPr>
                <w:rFonts w:ascii="Times New Roman" w:hAnsi="Times New Roman"/>
                <w:sz w:val="16"/>
              </w:rPr>
            </w:r>
          </w:p>
        </w:tc>
      </w:tr>
      <w:tr>
        <w:tc>
          <w:tcPr>
            <w:tcW w:type="dxa" w:w="3120"/>
          </w:tcPr>
          <w:p>
            <w:r/>
            <w:r>
              <w:rPr>
                <w:rFonts w:ascii="Times New Roman" w:hAnsi="Times New Roman"/>
                <w:sz w:val="16"/>
              </w:rPr>
              <w:t>1</w:t>
            </w:r>
          </w:p>
        </w:tc>
        <w:tc>
          <w:tcPr>
            <w:tcW w:type="dxa" w:w="3120"/>
          </w:tcPr>
          <w:p>
            <w:r/>
            <w:r>
              <w:rPr>
                <w:rFonts w:ascii="Times New Roman" w:hAnsi="Times New Roman"/>
                <w:sz w:val="16"/>
              </w:rPr>
              <w:t>Indicate the study design with a commonly used term in the title or abstract; provide an informative and balanced summary of what was done and what was found.</w:t>
            </w:r>
          </w:p>
        </w:tc>
        <w:tc>
          <w:tcPr>
            <w:tcW w:type="dxa" w:w="3120"/>
          </w:tcPr>
          <w:p>
            <w:r/>
            <w:r>
              <w:rPr>
                <w:rFonts w:ascii="Times New Roman" w:hAnsi="Times New Roman"/>
                <w:sz w:val="16"/>
              </w:rPr>
              <w:t>Title; Abstract</w:t>
            </w:r>
          </w:p>
        </w:tc>
      </w:tr>
      <w:tr>
        <w:tc>
          <w:tcPr>
            <w:tcW w:type="dxa" w:w="3120"/>
          </w:tcPr>
          <w:p>
            <w:r/>
            <w:r>
              <w:rPr>
                <w:rFonts w:ascii="Times New Roman" w:hAnsi="Times New Roman"/>
                <w:b/>
                <w:sz w:val="16"/>
              </w:rPr>
              <w:t>Introduction</w:t>
            </w:r>
          </w:p>
        </w:tc>
        <w:tc>
          <w:tcPr>
            <w:tcW w:type="dxa" w:w="3120"/>
          </w:tcPr>
          <w:p>
            <w:r/>
            <w:r>
              <w:rPr>
                <w:rFonts w:ascii="Times New Roman" w:hAnsi="Times New Roman"/>
                <w:sz w:val="16"/>
              </w:rPr>
            </w:r>
          </w:p>
        </w:tc>
        <w:tc>
          <w:tcPr>
            <w:tcW w:type="dxa" w:w="3120"/>
          </w:tcPr>
          <w:p>
            <w:r/>
            <w:r>
              <w:rPr>
                <w:rFonts w:ascii="Times New Roman" w:hAnsi="Times New Roman"/>
                <w:sz w:val="16"/>
              </w:rPr>
            </w:r>
          </w:p>
        </w:tc>
      </w:tr>
      <w:tr>
        <w:tc>
          <w:tcPr>
            <w:tcW w:type="dxa" w:w="3120"/>
          </w:tcPr>
          <w:p>
            <w:r/>
            <w:r>
              <w:rPr>
                <w:rFonts w:ascii="Times New Roman" w:hAnsi="Times New Roman"/>
                <w:sz w:val="16"/>
              </w:rPr>
              <w:t>2</w:t>
            </w:r>
          </w:p>
        </w:tc>
        <w:tc>
          <w:tcPr>
            <w:tcW w:type="dxa" w:w="3120"/>
          </w:tcPr>
          <w:p>
            <w:r/>
            <w:r>
              <w:rPr>
                <w:rFonts w:ascii="Times New Roman" w:hAnsi="Times New Roman"/>
                <w:sz w:val="16"/>
              </w:rPr>
              <w:t>Explain the scientific background and rationale for the investigation being reported.</w:t>
            </w:r>
          </w:p>
        </w:tc>
        <w:tc>
          <w:tcPr>
            <w:tcW w:type="dxa" w:w="3120"/>
          </w:tcPr>
          <w:p>
            <w:r/>
            <w:r>
              <w:rPr>
                <w:rFonts w:ascii="Times New Roman" w:hAnsi="Times New Roman"/>
                <w:sz w:val="16"/>
              </w:rPr>
              <w:t>Introduction ¶1–4</w:t>
            </w:r>
          </w:p>
        </w:tc>
      </w:tr>
      <w:tr>
        <w:tc>
          <w:tcPr>
            <w:tcW w:type="dxa" w:w="3120"/>
          </w:tcPr>
          <w:p>
            <w:r/>
            <w:r>
              <w:rPr>
                <w:rFonts w:ascii="Times New Roman" w:hAnsi="Times New Roman"/>
                <w:sz w:val="16"/>
              </w:rPr>
              <w:t>3</w:t>
            </w:r>
          </w:p>
        </w:tc>
        <w:tc>
          <w:tcPr>
            <w:tcW w:type="dxa" w:w="3120"/>
          </w:tcPr>
          <w:p>
            <w:r/>
            <w:r>
              <w:rPr>
                <w:rFonts w:ascii="Times New Roman" w:hAnsi="Times New Roman"/>
                <w:sz w:val="16"/>
              </w:rPr>
              <w:t>State specific objectives, including any prespecified hypotheses.</w:t>
            </w:r>
          </w:p>
        </w:tc>
        <w:tc>
          <w:tcPr>
            <w:tcW w:type="dxa" w:w="3120"/>
          </w:tcPr>
          <w:p>
            <w:r/>
            <w:r>
              <w:rPr>
                <w:rFonts w:ascii="Times New Roman" w:hAnsi="Times New Roman"/>
                <w:sz w:val="16"/>
              </w:rPr>
              <w:t>Introduction ¶4</w:t>
            </w:r>
          </w:p>
        </w:tc>
      </w:tr>
      <w:tr>
        <w:tc>
          <w:tcPr>
            <w:tcW w:type="dxa" w:w="3120"/>
          </w:tcPr>
          <w:p>
            <w:r/>
            <w:r>
              <w:rPr>
                <w:rFonts w:ascii="Times New Roman" w:hAnsi="Times New Roman"/>
                <w:b/>
                <w:sz w:val="16"/>
              </w:rPr>
              <w:t>Methods</w:t>
            </w:r>
          </w:p>
        </w:tc>
        <w:tc>
          <w:tcPr>
            <w:tcW w:type="dxa" w:w="3120"/>
          </w:tcPr>
          <w:p>
            <w:r/>
            <w:r>
              <w:rPr>
                <w:rFonts w:ascii="Times New Roman" w:hAnsi="Times New Roman"/>
                <w:sz w:val="16"/>
              </w:rPr>
            </w:r>
          </w:p>
        </w:tc>
        <w:tc>
          <w:tcPr>
            <w:tcW w:type="dxa" w:w="3120"/>
          </w:tcPr>
          <w:p>
            <w:r/>
            <w:r>
              <w:rPr>
                <w:rFonts w:ascii="Times New Roman" w:hAnsi="Times New Roman"/>
                <w:sz w:val="16"/>
              </w:rPr>
            </w:r>
          </w:p>
        </w:tc>
      </w:tr>
      <w:tr>
        <w:tc>
          <w:tcPr>
            <w:tcW w:type="dxa" w:w="3120"/>
          </w:tcPr>
          <w:p>
            <w:r/>
            <w:r>
              <w:rPr>
                <w:rFonts w:ascii="Times New Roman" w:hAnsi="Times New Roman"/>
                <w:sz w:val="16"/>
              </w:rPr>
              <w:t>4</w:t>
            </w:r>
          </w:p>
        </w:tc>
        <w:tc>
          <w:tcPr>
            <w:tcW w:type="dxa" w:w="3120"/>
          </w:tcPr>
          <w:p>
            <w:r/>
            <w:r>
              <w:rPr>
                <w:rFonts w:ascii="Times New Roman" w:hAnsi="Times New Roman"/>
                <w:sz w:val="16"/>
              </w:rPr>
              <w:t>Present key elements of study design early in the paper.</w:t>
            </w:r>
          </w:p>
        </w:tc>
        <w:tc>
          <w:tcPr>
            <w:tcW w:type="dxa" w:w="3120"/>
          </w:tcPr>
          <w:p>
            <w:r/>
            <w:r>
              <w:rPr>
                <w:rFonts w:ascii="Times New Roman" w:hAnsi="Times New Roman"/>
                <w:sz w:val="16"/>
              </w:rPr>
              <w:t>Methods: Study design</w:t>
            </w:r>
          </w:p>
        </w:tc>
      </w:tr>
      <w:tr>
        <w:tc>
          <w:tcPr>
            <w:tcW w:type="dxa" w:w="3120"/>
          </w:tcPr>
          <w:p>
            <w:r/>
            <w:r>
              <w:rPr>
                <w:rFonts w:ascii="Times New Roman" w:hAnsi="Times New Roman"/>
                <w:sz w:val="16"/>
              </w:rPr>
              <w:t>5</w:t>
            </w:r>
          </w:p>
        </w:tc>
        <w:tc>
          <w:tcPr>
            <w:tcW w:type="dxa" w:w="3120"/>
          </w:tcPr>
          <w:p>
            <w:r/>
            <w:r>
              <w:rPr>
                <w:rFonts w:ascii="Times New Roman" w:hAnsi="Times New Roman"/>
                <w:sz w:val="16"/>
              </w:rPr>
              <w:t>Describe the setting, locations, and relevant dates, including periods of recruitment, exposure, follow-up, and data collection.</w:t>
            </w:r>
          </w:p>
        </w:tc>
        <w:tc>
          <w:tcPr>
            <w:tcW w:type="dxa" w:w="3120"/>
          </w:tcPr>
          <w:p>
            <w:r/>
            <w:r>
              <w:rPr>
                <w:rFonts w:ascii="Times New Roman" w:hAnsi="Times New Roman"/>
                <w:sz w:val="16"/>
              </w:rPr>
              <w:t>Methods: Data sources</w:t>
            </w:r>
          </w:p>
        </w:tc>
      </w:tr>
      <w:tr>
        <w:tc>
          <w:tcPr>
            <w:tcW w:type="dxa" w:w="3120"/>
          </w:tcPr>
          <w:p>
            <w:r/>
            <w:r>
              <w:rPr>
                <w:rFonts w:ascii="Times New Roman" w:hAnsi="Times New Roman"/>
                <w:sz w:val="16"/>
              </w:rPr>
              <w:t>6a</w:t>
            </w:r>
          </w:p>
        </w:tc>
        <w:tc>
          <w:tcPr>
            <w:tcW w:type="dxa" w:w="3120"/>
          </w:tcPr>
          <w:p>
            <w:r/>
            <w:r>
              <w:rPr>
                <w:rFonts w:ascii="Times New Roman" w:hAnsi="Times New Roman"/>
                <w:sz w:val="16"/>
              </w:rPr>
              <w:t>Give the eligibility criteria, and the sources and methods of selection of participants. Describe methods of follow-up.</w:t>
            </w:r>
          </w:p>
        </w:tc>
        <w:tc>
          <w:tcPr>
            <w:tcW w:type="dxa" w:w="3120"/>
          </w:tcPr>
          <w:p>
            <w:r/>
            <w:r>
              <w:rPr>
                <w:rFonts w:ascii="Times New Roman" w:hAnsi="Times New Roman"/>
                <w:sz w:val="16"/>
              </w:rPr>
              <w:t>Methods: Specialties analysed</w:t>
            </w:r>
          </w:p>
        </w:tc>
      </w:tr>
      <w:tr>
        <w:tc>
          <w:tcPr>
            <w:tcW w:type="dxa" w:w="3120"/>
          </w:tcPr>
          <w:p>
            <w:r/>
            <w:r>
              <w:rPr>
                <w:rFonts w:ascii="Times New Roman" w:hAnsi="Times New Roman"/>
                <w:sz w:val="16"/>
              </w:rPr>
              <w:t>6b</w:t>
            </w:r>
          </w:p>
        </w:tc>
        <w:tc>
          <w:tcPr>
            <w:tcW w:type="dxa" w:w="3120"/>
          </w:tcPr>
          <w:p>
            <w:r/>
            <w:r>
              <w:rPr>
                <w:rFonts w:ascii="Times New Roman" w:hAnsi="Times New Roman"/>
                <w:sz w:val="16"/>
              </w:rPr>
              <w:t>For matched studies, give matching criteria and number of exposed and unexposed.</w:t>
            </w:r>
          </w:p>
        </w:tc>
        <w:tc>
          <w:tcPr>
            <w:tcW w:type="dxa" w:w="3120"/>
          </w:tcPr>
          <w:p>
            <w:r/>
            <w:r>
              <w:rPr>
                <w:rFonts w:ascii="Times New Roman" w:hAnsi="Times New Roman"/>
                <w:sz w:val="16"/>
              </w:rPr>
              <w:t>N/A</w:t>
            </w:r>
          </w:p>
        </w:tc>
      </w:tr>
      <w:tr>
        <w:tc>
          <w:tcPr>
            <w:tcW w:type="dxa" w:w="3120"/>
          </w:tcPr>
          <w:p>
            <w:r/>
            <w:r>
              <w:rPr>
                <w:rFonts w:ascii="Times New Roman" w:hAnsi="Times New Roman"/>
                <w:sz w:val="16"/>
              </w:rPr>
              <w:t>7</w:t>
            </w:r>
          </w:p>
        </w:tc>
        <w:tc>
          <w:tcPr>
            <w:tcW w:type="dxa" w:w="3120"/>
          </w:tcPr>
          <w:p>
            <w:r/>
            <w:r>
              <w:rPr>
                <w:rFonts w:ascii="Times New Roman" w:hAnsi="Times New Roman"/>
                <w:sz w:val="16"/>
              </w:rPr>
              <w:t>Clearly define all outcomes, exposures, predictors, potential confounders, and effect modifiers. Give diagnostic criteria, if applicable.</w:t>
            </w:r>
          </w:p>
        </w:tc>
        <w:tc>
          <w:tcPr>
            <w:tcW w:type="dxa" w:w="3120"/>
          </w:tcPr>
          <w:p>
            <w:r/>
            <w:r>
              <w:rPr>
                <w:rFonts w:ascii="Times New Roman" w:hAnsi="Times New Roman"/>
                <w:sz w:val="16"/>
              </w:rPr>
              <w:t>Methods: Data sources (Definitions 1–3); Statistical analysis</w:t>
            </w:r>
          </w:p>
        </w:tc>
      </w:tr>
      <w:tr>
        <w:tc>
          <w:tcPr>
            <w:tcW w:type="dxa" w:w="3120"/>
          </w:tcPr>
          <w:p>
            <w:r/>
            <w:r>
              <w:rPr>
                <w:rFonts w:ascii="Times New Roman" w:hAnsi="Times New Roman"/>
                <w:sz w:val="16"/>
              </w:rPr>
              <w:t>8</w:t>
            </w:r>
          </w:p>
        </w:tc>
        <w:tc>
          <w:tcPr>
            <w:tcW w:type="dxa" w:w="3120"/>
          </w:tcPr>
          <w:p>
            <w:r/>
            <w:r>
              <w:rPr>
                <w:rFonts w:ascii="Times New Roman" w:hAnsi="Times New Roman"/>
                <w:sz w:val="16"/>
              </w:rPr>
              <w:t>For each variable of interest, give sources of data and details of methods of assessment (measurement). Describe comparability of assessment methods if there is more than one group.</w:t>
            </w:r>
          </w:p>
        </w:tc>
        <w:tc>
          <w:tcPr>
            <w:tcW w:type="dxa" w:w="3120"/>
          </w:tcPr>
          <w:p>
            <w:r/>
            <w:r>
              <w:rPr>
                <w:rFonts w:ascii="Times New Roman" w:hAnsi="Times New Roman"/>
                <w:sz w:val="16"/>
              </w:rPr>
              <w:t>Methods: Data sources</w:t>
            </w:r>
          </w:p>
        </w:tc>
      </w:tr>
      <w:tr>
        <w:tc>
          <w:tcPr>
            <w:tcW w:type="dxa" w:w="3120"/>
          </w:tcPr>
          <w:p>
            <w:r/>
            <w:r>
              <w:rPr>
                <w:rFonts w:ascii="Times New Roman" w:hAnsi="Times New Roman"/>
                <w:sz w:val="16"/>
              </w:rPr>
              <w:t>9</w:t>
            </w:r>
          </w:p>
        </w:tc>
        <w:tc>
          <w:tcPr>
            <w:tcW w:type="dxa" w:w="3120"/>
          </w:tcPr>
          <w:p>
            <w:r/>
            <w:r>
              <w:rPr>
                <w:rFonts w:ascii="Times New Roman" w:hAnsi="Times New Roman"/>
                <w:sz w:val="16"/>
              </w:rPr>
              <w:t>Describe any efforts to address potential sources of bias.</w:t>
            </w:r>
          </w:p>
        </w:tc>
        <w:tc>
          <w:tcPr>
            <w:tcW w:type="dxa" w:w="3120"/>
          </w:tcPr>
          <w:p>
            <w:r/>
            <w:r>
              <w:rPr>
                <w:rFonts w:ascii="Times New Roman" w:hAnsi="Times New Roman"/>
                <w:sz w:val="16"/>
              </w:rPr>
              <w:t>Methods: Lead time estimation (detrending); Discussion: Limitations</w:t>
            </w:r>
          </w:p>
        </w:tc>
      </w:tr>
      <w:tr>
        <w:tc>
          <w:tcPr>
            <w:tcW w:type="dxa" w:w="3120"/>
          </w:tcPr>
          <w:p>
            <w:r/>
            <w:r>
              <w:rPr>
                <w:rFonts w:ascii="Times New Roman" w:hAnsi="Times New Roman"/>
                <w:sz w:val="16"/>
              </w:rPr>
              <w:t>10</w:t>
            </w:r>
          </w:p>
        </w:tc>
        <w:tc>
          <w:tcPr>
            <w:tcW w:type="dxa" w:w="3120"/>
          </w:tcPr>
          <w:p>
            <w:r/>
            <w:r>
              <w:rPr>
                <w:rFonts w:ascii="Times New Roman" w:hAnsi="Times New Roman"/>
                <w:sz w:val="16"/>
              </w:rPr>
              <w:t>Explain how the study size was arrived at.</w:t>
            </w:r>
          </w:p>
        </w:tc>
        <w:tc>
          <w:tcPr>
            <w:tcW w:type="dxa" w:w="3120"/>
          </w:tcPr>
          <w:p>
            <w:r/>
            <w:r>
              <w:rPr>
                <w:rFonts w:ascii="Times New Roman" w:hAnsi="Times New Roman"/>
                <w:sz w:val="16"/>
              </w:rPr>
              <w:t>Methods: Data sources (national population-level registries; all available years used)</w:t>
            </w:r>
          </w:p>
        </w:tc>
      </w:tr>
      <w:tr>
        <w:tc>
          <w:tcPr>
            <w:tcW w:type="dxa" w:w="3120"/>
          </w:tcPr>
          <w:p>
            <w:r/>
            <w:r>
              <w:rPr>
                <w:rFonts w:ascii="Times New Roman" w:hAnsi="Times New Roman"/>
                <w:sz w:val="16"/>
              </w:rPr>
              <w:t>11</w:t>
            </w:r>
          </w:p>
        </w:tc>
        <w:tc>
          <w:tcPr>
            <w:tcW w:type="dxa" w:w="3120"/>
          </w:tcPr>
          <w:p>
            <w:r/>
            <w:r>
              <w:rPr>
                <w:rFonts w:ascii="Times New Roman" w:hAnsi="Times New Roman"/>
                <w:sz w:val="16"/>
              </w:rPr>
              <w:t>Explain how quantitative variables were handled in the analyses.</w:t>
            </w:r>
          </w:p>
        </w:tc>
        <w:tc>
          <w:tcPr>
            <w:tcW w:type="dxa" w:w="3120"/>
          </w:tcPr>
          <w:p>
            <w:r/>
            <w:r>
              <w:rPr>
                <w:rFonts w:ascii="Times New Roman" w:hAnsi="Times New Roman"/>
                <w:sz w:val="16"/>
              </w:rPr>
              <w:t>Methods: Statistical analysis</w:t>
            </w:r>
          </w:p>
        </w:tc>
      </w:tr>
      <w:tr>
        <w:tc>
          <w:tcPr>
            <w:tcW w:type="dxa" w:w="3120"/>
          </w:tcPr>
          <w:p>
            <w:r/>
            <w:r>
              <w:rPr>
                <w:rFonts w:ascii="Times New Roman" w:hAnsi="Times New Roman"/>
                <w:sz w:val="16"/>
              </w:rPr>
              <w:t>12</w:t>
            </w:r>
          </w:p>
        </w:tc>
        <w:tc>
          <w:tcPr>
            <w:tcW w:type="dxa" w:w="3120"/>
          </w:tcPr>
          <w:p>
            <w:r/>
            <w:r>
              <w:rPr>
                <w:rFonts w:ascii="Times New Roman" w:hAnsi="Times New Roman"/>
                <w:sz w:val="16"/>
              </w:rPr>
              <w:t>Describe all statistical methods, including those used to control for confounding.</w:t>
            </w:r>
          </w:p>
        </w:tc>
        <w:tc>
          <w:tcPr>
            <w:tcW w:type="dxa" w:w="3120"/>
          </w:tcPr>
          <w:p>
            <w:r/>
            <w:r>
              <w:rPr>
                <w:rFonts w:ascii="Times New Roman" w:hAnsi="Times New Roman"/>
                <w:sz w:val="16"/>
              </w:rPr>
              <w:t>Methods: Statistical analysis</w:t>
            </w:r>
          </w:p>
        </w:tc>
      </w:tr>
      <w:tr>
        <w:tc>
          <w:tcPr>
            <w:tcW w:type="dxa" w:w="3120"/>
          </w:tcPr>
          <w:p>
            <w:r/>
            <w:r>
              <w:rPr>
                <w:rFonts w:ascii="Times New Roman" w:hAnsi="Times New Roman"/>
                <w:sz w:val="16"/>
              </w:rPr>
              <w:t>13</w:t>
            </w:r>
          </w:p>
        </w:tc>
        <w:tc>
          <w:tcPr>
            <w:tcW w:type="dxa" w:w="3120"/>
          </w:tcPr>
          <w:p>
            <w:r/>
            <w:r>
              <w:rPr>
                <w:rFonts w:ascii="Times New Roman" w:hAnsi="Times New Roman"/>
                <w:sz w:val="16"/>
              </w:rPr>
              <w:t>Report numbers of individuals at each stage of study.</w:t>
            </w:r>
          </w:p>
        </w:tc>
        <w:tc>
          <w:tcPr>
            <w:tcW w:type="dxa" w:w="3120"/>
          </w:tcPr>
          <w:p>
            <w:r/>
            <w:r>
              <w:rPr>
                <w:rFonts w:ascii="Times New Roman" w:hAnsi="Times New Roman"/>
                <w:sz w:val="16"/>
              </w:rPr>
              <w:t>Results: Descriptive overview</w:t>
            </w:r>
          </w:p>
        </w:tc>
      </w:tr>
      <w:tr>
        <w:tc>
          <w:tcPr>
            <w:tcW w:type="dxa" w:w="3120"/>
          </w:tcPr>
          <w:p>
            <w:r/>
            <w:r>
              <w:rPr>
                <w:rFonts w:ascii="Times New Roman" w:hAnsi="Times New Roman"/>
                <w:sz w:val="16"/>
              </w:rPr>
              <w:t>14</w:t>
            </w:r>
          </w:p>
        </w:tc>
        <w:tc>
          <w:tcPr>
            <w:tcW w:type="dxa" w:w="3120"/>
          </w:tcPr>
          <w:p>
            <w:r/>
            <w:r>
              <w:rPr>
                <w:rFonts w:ascii="Times New Roman" w:hAnsi="Times New Roman"/>
                <w:sz w:val="16"/>
              </w:rPr>
              <w:t>Give characteristics of study participants and information on exposures and potential confounders.</w:t>
            </w:r>
          </w:p>
        </w:tc>
        <w:tc>
          <w:tcPr>
            <w:tcW w:type="dxa" w:w="3120"/>
          </w:tcPr>
          <w:p>
            <w:r/>
            <w:r>
              <w:rPr>
                <w:rFonts w:ascii="Times New Roman" w:hAnsi="Times New Roman"/>
                <w:sz w:val="16"/>
              </w:rPr>
              <w:t>Results: Descriptive overview; Table 1</w:t>
            </w:r>
          </w:p>
        </w:tc>
      </w:tr>
      <w:tr>
        <w:tc>
          <w:tcPr>
            <w:tcW w:type="dxa" w:w="3120"/>
          </w:tcPr>
          <w:p>
            <w:r/>
            <w:r>
              <w:rPr>
                <w:rFonts w:ascii="Times New Roman" w:hAnsi="Times New Roman"/>
                <w:sz w:val="16"/>
              </w:rPr>
              <w:t>15</w:t>
            </w:r>
          </w:p>
        </w:tc>
        <w:tc>
          <w:tcPr>
            <w:tcW w:type="dxa" w:w="3120"/>
          </w:tcPr>
          <w:p>
            <w:r/>
            <w:r>
              <w:rPr>
                <w:rFonts w:ascii="Times New Roman" w:hAnsi="Times New Roman"/>
                <w:sz w:val="16"/>
              </w:rPr>
              <w:t>Report numbers of outcome events or summary measures.</w:t>
            </w:r>
          </w:p>
        </w:tc>
        <w:tc>
          <w:tcPr>
            <w:tcW w:type="dxa" w:w="3120"/>
          </w:tcPr>
          <w:p>
            <w:r/>
            <w:r>
              <w:rPr>
                <w:rFonts w:ascii="Times New Roman" w:hAnsi="Times New Roman"/>
                <w:sz w:val="16"/>
              </w:rPr>
              <w:t>Results; Tables 1–4</w:t>
            </w:r>
          </w:p>
        </w:tc>
      </w:tr>
      <w:tr>
        <w:tc>
          <w:tcPr>
            <w:tcW w:type="dxa" w:w="3120"/>
          </w:tcPr>
          <w:p>
            <w:r/>
            <w:r>
              <w:rPr>
                <w:rFonts w:ascii="Times New Roman" w:hAnsi="Times New Roman"/>
                <w:sz w:val="16"/>
              </w:rPr>
              <w:t>16</w:t>
            </w:r>
          </w:p>
        </w:tc>
        <w:tc>
          <w:tcPr>
            <w:tcW w:type="dxa" w:w="3120"/>
          </w:tcPr>
          <w:p>
            <w:r/>
            <w:r>
              <w:rPr>
                <w:rFonts w:ascii="Times New Roman" w:hAnsi="Times New Roman"/>
                <w:sz w:val="16"/>
              </w:rPr>
              <w:t>Give unadjusted estimates and, if applicable, confounder-adjusted estimates.</w:t>
            </w:r>
          </w:p>
        </w:tc>
        <w:tc>
          <w:tcPr>
            <w:tcW w:type="dxa" w:w="3120"/>
          </w:tcPr>
          <w:p>
            <w:r/>
            <w:r>
              <w:rPr>
                <w:rFonts w:ascii="Times New Roman" w:hAnsi="Times New Roman"/>
                <w:sz w:val="16"/>
              </w:rPr>
              <w:t>Results: Tables 1–4; Figures 2–9</w:t>
            </w:r>
          </w:p>
        </w:tc>
      </w:tr>
      <w:tr>
        <w:tc>
          <w:tcPr>
            <w:tcW w:type="dxa" w:w="3120"/>
          </w:tcPr>
          <w:p>
            <w:r/>
            <w:r>
              <w:rPr>
                <w:rFonts w:ascii="Times New Roman" w:hAnsi="Times New Roman"/>
                <w:sz w:val="16"/>
              </w:rPr>
              <w:t>17</w:t>
            </w:r>
          </w:p>
        </w:tc>
        <w:tc>
          <w:tcPr>
            <w:tcW w:type="dxa" w:w="3120"/>
          </w:tcPr>
          <w:p>
            <w:r/>
            <w:r>
              <w:rPr>
                <w:rFonts w:ascii="Times New Roman" w:hAnsi="Times New Roman"/>
                <w:sz w:val="16"/>
              </w:rPr>
              <w:t>Report other analyses done—e.g. analyses of subgroups and interactions.</w:t>
            </w:r>
          </w:p>
        </w:tc>
        <w:tc>
          <w:tcPr>
            <w:tcW w:type="dxa" w:w="3120"/>
          </w:tcPr>
          <w:p>
            <w:r/>
            <w:r>
              <w:rPr>
                <w:rFonts w:ascii="Times New Roman" w:hAnsi="Times New Roman"/>
                <w:sz w:val="16"/>
              </w:rPr>
              <w:t>Results: Trainee analysis; Window period estimates</w:t>
            </w:r>
          </w:p>
        </w:tc>
      </w:tr>
      <w:tr>
        <w:tc>
          <w:tcPr>
            <w:tcW w:type="dxa" w:w="3120"/>
          </w:tcPr>
          <w:p>
            <w:r/>
            <w:r>
              <w:rPr>
                <w:rFonts w:ascii="Times New Roman" w:hAnsi="Times New Roman"/>
                <w:b/>
                <w:sz w:val="16"/>
              </w:rPr>
              <w:t>Discussion</w:t>
            </w:r>
          </w:p>
        </w:tc>
        <w:tc>
          <w:tcPr>
            <w:tcW w:type="dxa" w:w="3120"/>
          </w:tcPr>
          <w:p>
            <w:r/>
            <w:r>
              <w:rPr>
                <w:rFonts w:ascii="Times New Roman" w:hAnsi="Times New Roman"/>
                <w:sz w:val="16"/>
              </w:rPr>
            </w:r>
          </w:p>
        </w:tc>
        <w:tc>
          <w:tcPr>
            <w:tcW w:type="dxa" w:w="3120"/>
          </w:tcPr>
          <w:p>
            <w:r/>
            <w:r>
              <w:rPr>
                <w:rFonts w:ascii="Times New Roman" w:hAnsi="Times New Roman"/>
                <w:sz w:val="16"/>
              </w:rPr>
            </w:r>
          </w:p>
        </w:tc>
      </w:tr>
      <w:tr>
        <w:tc>
          <w:tcPr>
            <w:tcW w:type="dxa" w:w="3120"/>
          </w:tcPr>
          <w:p>
            <w:r/>
            <w:r>
              <w:rPr>
                <w:rFonts w:ascii="Times New Roman" w:hAnsi="Times New Roman"/>
                <w:sz w:val="16"/>
              </w:rPr>
              <w:t>18</w:t>
            </w:r>
          </w:p>
        </w:tc>
        <w:tc>
          <w:tcPr>
            <w:tcW w:type="dxa" w:w="3120"/>
          </w:tcPr>
          <w:p>
            <w:r/>
            <w:r>
              <w:rPr>
                <w:rFonts w:ascii="Times New Roman" w:hAnsi="Times New Roman"/>
                <w:sz w:val="16"/>
              </w:rPr>
              <w:t>Summarise key results with reference to study objectives.</w:t>
            </w:r>
          </w:p>
        </w:tc>
        <w:tc>
          <w:tcPr>
            <w:tcW w:type="dxa" w:w="3120"/>
          </w:tcPr>
          <w:p>
            <w:r/>
            <w:r>
              <w:rPr>
                <w:rFonts w:ascii="Times New Roman" w:hAnsi="Times New Roman"/>
                <w:sz w:val="16"/>
              </w:rPr>
              <w:t>Discussion: Principal findings</w:t>
            </w:r>
          </w:p>
        </w:tc>
      </w:tr>
      <w:tr>
        <w:tc>
          <w:tcPr>
            <w:tcW w:type="dxa" w:w="3120"/>
          </w:tcPr>
          <w:p>
            <w:r/>
            <w:r>
              <w:rPr>
                <w:rFonts w:ascii="Times New Roman" w:hAnsi="Times New Roman"/>
                <w:sz w:val="16"/>
              </w:rPr>
              <w:t>19</w:t>
            </w:r>
          </w:p>
        </w:tc>
        <w:tc>
          <w:tcPr>
            <w:tcW w:type="dxa" w:w="3120"/>
          </w:tcPr>
          <w:p>
            <w:r/>
            <w:r>
              <w:rPr>
                <w:rFonts w:ascii="Times New Roman" w:hAnsi="Times New Roman"/>
                <w:sz w:val="16"/>
              </w:rPr>
              <w:t>Discuss limitations of the study, taking into account sources of potential bias or imprecision.</w:t>
            </w:r>
          </w:p>
        </w:tc>
        <w:tc>
          <w:tcPr>
            <w:tcW w:type="dxa" w:w="3120"/>
          </w:tcPr>
          <w:p>
            <w:r/>
            <w:r>
              <w:rPr>
                <w:rFonts w:ascii="Times New Roman" w:hAnsi="Times New Roman"/>
                <w:sz w:val="16"/>
              </w:rPr>
              <w:t>Discussion: Strengths and limitations</w:t>
            </w:r>
          </w:p>
        </w:tc>
      </w:tr>
      <w:tr>
        <w:tc>
          <w:tcPr>
            <w:tcW w:type="dxa" w:w="3120"/>
          </w:tcPr>
          <w:p>
            <w:r/>
            <w:r>
              <w:rPr>
                <w:rFonts w:ascii="Times New Roman" w:hAnsi="Times New Roman"/>
                <w:sz w:val="16"/>
              </w:rPr>
              <w:t>20</w:t>
            </w:r>
          </w:p>
        </w:tc>
        <w:tc>
          <w:tcPr>
            <w:tcW w:type="dxa" w:w="3120"/>
          </w:tcPr>
          <w:p>
            <w:r/>
            <w:r>
              <w:rPr>
                <w:rFonts w:ascii="Times New Roman" w:hAnsi="Times New Roman"/>
                <w:sz w:val="16"/>
              </w:rPr>
              <w:t>Give a cautious overall interpretation of results considering objectives, limitations, multiplicity of analyses, results from similar studies, and other relevant evidence.</w:t>
            </w:r>
          </w:p>
        </w:tc>
        <w:tc>
          <w:tcPr>
            <w:tcW w:type="dxa" w:w="3120"/>
          </w:tcPr>
          <w:p>
            <w:r/>
            <w:r>
              <w:rPr>
                <w:rFonts w:ascii="Times New Roman" w:hAnsi="Times New Roman"/>
                <w:sz w:val="16"/>
              </w:rPr>
              <w:t>Discussion: Comparison with existing literature; Policy implications</w:t>
            </w:r>
          </w:p>
        </w:tc>
      </w:tr>
      <w:tr>
        <w:tc>
          <w:tcPr>
            <w:tcW w:type="dxa" w:w="3120"/>
          </w:tcPr>
          <w:p>
            <w:r/>
            <w:r>
              <w:rPr>
                <w:rFonts w:ascii="Times New Roman" w:hAnsi="Times New Roman"/>
                <w:sz w:val="16"/>
              </w:rPr>
              <w:t>21</w:t>
            </w:r>
          </w:p>
        </w:tc>
        <w:tc>
          <w:tcPr>
            <w:tcW w:type="dxa" w:w="3120"/>
          </w:tcPr>
          <w:p>
            <w:r/>
            <w:r>
              <w:rPr>
                <w:rFonts w:ascii="Times New Roman" w:hAnsi="Times New Roman"/>
                <w:sz w:val="16"/>
              </w:rPr>
              <w:t>Discuss the generalisability (external validity) of the study results.</w:t>
            </w:r>
          </w:p>
        </w:tc>
        <w:tc>
          <w:tcPr>
            <w:tcW w:type="dxa" w:w="3120"/>
          </w:tcPr>
          <w:p>
            <w:r/>
            <w:r>
              <w:rPr>
                <w:rFonts w:ascii="Times New Roman" w:hAnsi="Times New Roman"/>
                <w:sz w:val="16"/>
              </w:rPr>
              <w:t>Discussion: Policy implications</w:t>
            </w:r>
          </w:p>
        </w:tc>
      </w:tr>
      <w:tr>
        <w:tc>
          <w:tcPr>
            <w:tcW w:type="dxa" w:w="3120"/>
          </w:tcPr>
          <w:p>
            <w:r/>
            <w:r>
              <w:rPr>
                <w:rFonts w:ascii="Times New Roman" w:hAnsi="Times New Roman"/>
                <w:b/>
                <w:sz w:val="16"/>
              </w:rPr>
              <w:t>Other information</w:t>
            </w:r>
          </w:p>
        </w:tc>
        <w:tc>
          <w:tcPr>
            <w:tcW w:type="dxa" w:w="3120"/>
          </w:tcPr>
          <w:p>
            <w:r/>
            <w:r>
              <w:rPr>
                <w:rFonts w:ascii="Times New Roman" w:hAnsi="Times New Roman"/>
                <w:sz w:val="16"/>
              </w:rPr>
            </w:r>
          </w:p>
        </w:tc>
        <w:tc>
          <w:tcPr>
            <w:tcW w:type="dxa" w:w="3120"/>
          </w:tcPr>
          <w:p>
            <w:r/>
            <w:r>
              <w:rPr>
                <w:rFonts w:ascii="Times New Roman" w:hAnsi="Times New Roman"/>
                <w:sz w:val="16"/>
              </w:rPr>
            </w:r>
          </w:p>
        </w:tc>
      </w:tr>
      <w:tr>
        <w:tc>
          <w:tcPr>
            <w:tcW w:type="dxa" w:w="3120"/>
          </w:tcPr>
          <w:p>
            <w:r/>
            <w:r>
              <w:rPr>
                <w:rFonts w:ascii="Times New Roman" w:hAnsi="Times New Roman"/>
                <w:sz w:val="16"/>
              </w:rPr>
              <w:t>22</w:t>
            </w:r>
          </w:p>
        </w:tc>
        <w:tc>
          <w:tcPr>
            <w:tcW w:type="dxa" w:w="3120"/>
          </w:tcPr>
          <w:p>
            <w:r/>
            <w:r>
              <w:rPr>
                <w:rFonts w:ascii="Times New Roman" w:hAnsi="Times New Roman"/>
                <w:sz w:val="16"/>
              </w:rPr>
              <w:t>Give the source of funding and the role of the funders.</w:t>
            </w:r>
          </w:p>
        </w:tc>
        <w:tc>
          <w:tcPr>
            <w:tcW w:type="dxa" w:w="3120"/>
          </w:tcPr>
          <w:p>
            <w:r/>
            <w:r>
              <w:rPr>
                <w:rFonts w:ascii="Times New Roman" w:hAnsi="Times New Roman"/>
                <w:sz w:val="16"/>
              </w:rPr>
              <w:t>Declarations: Funding</w:t>
            </w:r>
          </w:p>
        </w:tc>
      </w:tr>
      <w:tr>
        <w:tc>
          <w:tcPr>
            <w:tcW w:type="dxa" w:w="3120"/>
          </w:tcPr>
          <w:p>
            <w:r/>
            <w:r>
              <w:rPr>
                <w:rFonts w:ascii="Times New Roman" w:hAnsi="Times New Roman"/>
                <w:b/>
                <w:sz w:val="16"/>
              </w:rPr>
              <w:t>RECORD items</w:t>
            </w:r>
          </w:p>
        </w:tc>
        <w:tc>
          <w:tcPr>
            <w:tcW w:type="dxa" w:w="3120"/>
          </w:tcPr>
          <w:p>
            <w:r/>
            <w:r>
              <w:rPr>
                <w:rFonts w:ascii="Times New Roman" w:hAnsi="Times New Roman"/>
                <w:sz w:val="16"/>
              </w:rPr>
            </w:r>
          </w:p>
        </w:tc>
        <w:tc>
          <w:tcPr>
            <w:tcW w:type="dxa" w:w="3120"/>
          </w:tcPr>
          <w:p>
            <w:r/>
            <w:r>
              <w:rPr>
                <w:rFonts w:ascii="Times New Roman" w:hAnsi="Times New Roman"/>
                <w:sz w:val="16"/>
              </w:rPr>
            </w:r>
          </w:p>
        </w:tc>
      </w:tr>
      <w:tr>
        <w:tc>
          <w:tcPr>
            <w:tcW w:type="dxa" w:w="3120"/>
          </w:tcPr>
          <w:p>
            <w:r/>
            <w:r>
              <w:rPr>
                <w:rFonts w:ascii="Times New Roman" w:hAnsi="Times New Roman"/>
                <w:b/>
                <w:sz w:val="16"/>
              </w:rPr>
              <w:t>RECORD 1.1</w:t>
            </w:r>
          </w:p>
        </w:tc>
        <w:tc>
          <w:tcPr>
            <w:tcW w:type="dxa" w:w="3120"/>
          </w:tcPr>
          <w:p>
            <w:r/>
            <w:r>
              <w:rPr>
                <w:rFonts w:ascii="Times New Roman" w:hAnsi="Times New Roman"/>
                <w:sz w:val="16"/>
              </w:rPr>
              <w:t>The type of data used should be specified in the title or abstract. When possible, the name of the databases used should be included.</w:t>
            </w:r>
          </w:p>
        </w:tc>
        <w:tc>
          <w:tcPr>
            <w:tcW w:type="dxa" w:w="3120"/>
          </w:tcPr>
          <w:p>
            <w:r/>
            <w:r>
              <w:rPr>
                <w:rFonts w:ascii="Times New Roman" w:hAnsi="Times New Roman"/>
                <w:sz w:val="16"/>
              </w:rPr>
              <w:t>Title (interrupted time series); Abstract (JMSR, Supreme Court, MHLW surveys)</w:t>
            </w:r>
          </w:p>
        </w:tc>
      </w:tr>
      <w:tr>
        <w:tc>
          <w:tcPr>
            <w:tcW w:type="dxa" w:w="3120"/>
          </w:tcPr>
          <w:p>
            <w:r/>
            <w:r>
              <w:rPr>
                <w:rFonts w:ascii="Times New Roman" w:hAnsi="Times New Roman"/>
                <w:b/>
                <w:sz w:val="16"/>
              </w:rPr>
              <w:t>RECORD 1.2</w:t>
            </w:r>
          </w:p>
        </w:tc>
        <w:tc>
          <w:tcPr>
            <w:tcW w:type="dxa" w:w="3120"/>
          </w:tcPr>
          <w:p>
            <w:r/>
            <w:r>
              <w:rPr>
                <w:rFonts w:ascii="Times New Roman" w:hAnsi="Times New Roman"/>
                <w:sz w:val="16"/>
              </w:rPr>
              <w:t>If applicable, the geographic region and time frame within which the study took place should be reported in the title or abstract.</w:t>
            </w:r>
          </w:p>
        </w:tc>
        <w:tc>
          <w:tcPr>
            <w:tcW w:type="dxa" w:w="3120"/>
          </w:tcPr>
          <w:p>
            <w:r/>
            <w:r>
              <w:rPr>
                <w:rFonts w:ascii="Times New Roman" w:hAnsi="Times New Roman"/>
                <w:sz w:val="16"/>
              </w:rPr>
              <w:t>Title (Japan); Abstract (1994–2025)</w:t>
            </w:r>
          </w:p>
        </w:tc>
      </w:tr>
      <w:tr>
        <w:tc>
          <w:tcPr>
            <w:tcW w:type="dxa" w:w="3120"/>
          </w:tcPr>
          <w:p>
            <w:r/>
            <w:r>
              <w:rPr>
                <w:rFonts w:ascii="Times New Roman" w:hAnsi="Times New Roman"/>
                <w:b/>
                <w:sz w:val="16"/>
              </w:rPr>
              <w:t>RECORD 1.3</w:t>
            </w:r>
          </w:p>
        </w:tc>
        <w:tc>
          <w:tcPr>
            <w:tcW w:type="dxa" w:w="3120"/>
          </w:tcPr>
          <w:p>
            <w:r/>
            <w:r>
              <w:rPr>
                <w:rFonts w:ascii="Times New Roman" w:hAnsi="Times New Roman"/>
                <w:sz w:val="16"/>
              </w:rPr>
              <w:t>If linkage between databases was conducted for the study, this should be clearly stated in the title or abstract.</w:t>
            </w:r>
          </w:p>
        </w:tc>
        <w:tc>
          <w:tcPr>
            <w:tcW w:type="dxa" w:w="3120"/>
          </w:tcPr>
          <w:p>
            <w:r/>
            <w:r>
              <w:rPr>
                <w:rFonts w:ascii="Times New Roman" w:hAnsi="Times New Roman"/>
                <w:sz w:val="16"/>
              </w:rPr>
              <w:t>N/A (no record linkage)</w:t>
            </w:r>
          </w:p>
        </w:tc>
      </w:tr>
      <w:tr>
        <w:tc>
          <w:tcPr>
            <w:tcW w:type="dxa" w:w="3120"/>
          </w:tcPr>
          <w:p>
            <w:r/>
            <w:r>
              <w:rPr>
                <w:rFonts w:ascii="Times New Roman" w:hAnsi="Times New Roman"/>
                <w:b/>
                <w:sz w:val="16"/>
              </w:rPr>
              <w:t>RECORD 6.1</w:t>
            </w:r>
          </w:p>
        </w:tc>
        <w:tc>
          <w:tcPr>
            <w:tcW w:type="dxa" w:w="3120"/>
          </w:tcPr>
          <w:p>
            <w:r/>
            <w:r>
              <w:rPr>
                <w:rFonts w:ascii="Times New Roman" w:hAnsi="Times New Roman"/>
                <w:sz w:val="16"/>
              </w:rPr>
              <w:t>The methods of study population selection (e.g. codes or algorithms used to identify subjects) should be listed in detail.</w:t>
            </w:r>
          </w:p>
        </w:tc>
        <w:tc>
          <w:tcPr>
            <w:tcW w:type="dxa" w:w="3120"/>
          </w:tcPr>
          <w:p>
            <w:r/>
            <w:r>
              <w:rPr>
                <w:rFonts w:ascii="Times New Roman" w:hAnsi="Times New Roman"/>
                <w:sz w:val="16"/>
              </w:rPr>
              <w:t>Methods: Data sources; Specialties analysed</w:t>
            </w:r>
          </w:p>
        </w:tc>
      </w:tr>
      <w:tr>
        <w:tc>
          <w:tcPr>
            <w:tcW w:type="dxa" w:w="3120"/>
          </w:tcPr>
          <w:p>
            <w:r/>
            <w:r>
              <w:rPr>
                <w:rFonts w:ascii="Times New Roman" w:hAnsi="Times New Roman"/>
                <w:b/>
                <w:sz w:val="16"/>
              </w:rPr>
              <w:t>RECORD 6.2</w:t>
            </w:r>
          </w:p>
        </w:tc>
        <w:tc>
          <w:tcPr>
            <w:tcW w:type="dxa" w:w="3120"/>
          </w:tcPr>
          <w:p>
            <w:r/>
            <w:r>
              <w:rPr>
                <w:rFonts w:ascii="Times New Roman" w:hAnsi="Times New Roman"/>
                <w:sz w:val="16"/>
              </w:rPr>
              <w:t>Any validation studies of the codes or algorithms used to select the population should be referenced.</w:t>
            </w:r>
          </w:p>
        </w:tc>
        <w:tc>
          <w:tcPr>
            <w:tcW w:type="dxa" w:w="3120"/>
          </w:tcPr>
          <w:p>
            <w:r/>
            <w:r>
              <w:rPr>
                <w:rFonts w:ascii="Times New Roman" w:hAnsi="Times New Roman"/>
                <w:sz w:val="16"/>
              </w:rPr>
              <w:t>N/A (complete national registries used)</w:t>
            </w:r>
          </w:p>
        </w:tc>
      </w:tr>
      <w:tr>
        <w:tc>
          <w:tcPr>
            <w:tcW w:type="dxa" w:w="3120"/>
          </w:tcPr>
          <w:p>
            <w:r/>
            <w:r>
              <w:rPr>
                <w:rFonts w:ascii="Times New Roman" w:hAnsi="Times New Roman"/>
                <w:b/>
                <w:sz w:val="16"/>
              </w:rPr>
              <w:t>RECORD 6.3</w:t>
            </w:r>
          </w:p>
        </w:tc>
        <w:tc>
          <w:tcPr>
            <w:tcW w:type="dxa" w:w="3120"/>
          </w:tcPr>
          <w:p>
            <w:r/>
            <w:r>
              <w:rPr>
                <w:rFonts w:ascii="Times New Roman" w:hAnsi="Times New Roman"/>
                <w:sz w:val="16"/>
              </w:rPr>
              <w:t>If the study involved linkage of databases, consider use of a flow diagram or other graphical display to demonstrate the data linkage process.</w:t>
            </w:r>
          </w:p>
        </w:tc>
        <w:tc>
          <w:tcPr>
            <w:tcW w:type="dxa" w:w="3120"/>
          </w:tcPr>
          <w:p>
            <w:r/>
            <w:r>
              <w:rPr>
                <w:rFonts w:ascii="Times New Roman" w:hAnsi="Times New Roman"/>
                <w:sz w:val="16"/>
              </w:rPr>
              <w:t>N/A</w:t>
            </w:r>
          </w:p>
        </w:tc>
      </w:tr>
      <w:tr>
        <w:tc>
          <w:tcPr>
            <w:tcW w:type="dxa" w:w="3120"/>
          </w:tcPr>
          <w:p>
            <w:r/>
            <w:r>
              <w:rPr>
                <w:rFonts w:ascii="Times New Roman" w:hAnsi="Times New Roman"/>
                <w:b/>
                <w:sz w:val="16"/>
              </w:rPr>
              <w:t>RECORD 7.1</w:t>
            </w:r>
          </w:p>
        </w:tc>
        <w:tc>
          <w:tcPr>
            <w:tcW w:type="dxa" w:w="3120"/>
          </w:tcPr>
          <w:p>
            <w:r/>
            <w:r>
              <w:rPr>
                <w:rFonts w:ascii="Times New Roman" w:hAnsi="Times New Roman"/>
                <w:sz w:val="16"/>
              </w:rPr>
              <w:t>A complete list of codes and algorithms used to classify exposures, outcomes, confounders, and effect modifiers should be provided.</w:t>
            </w:r>
          </w:p>
        </w:tc>
        <w:tc>
          <w:tcPr>
            <w:tcW w:type="dxa" w:w="3120"/>
          </w:tcPr>
          <w:p>
            <w:r/>
            <w:r>
              <w:rPr>
                <w:rFonts w:ascii="Times New Roman" w:hAnsi="Times New Roman"/>
                <w:sz w:val="16"/>
              </w:rPr>
              <w:t>Methods: Data sources (Definitions 1–3)</w:t>
            </w:r>
          </w:p>
        </w:tc>
      </w:tr>
      <w:tr>
        <w:tc>
          <w:tcPr>
            <w:tcW w:type="dxa" w:w="3120"/>
          </w:tcPr>
          <w:p>
            <w:r/>
            <w:r>
              <w:rPr>
                <w:rFonts w:ascii="Times New Roman" w:hAnsi="Times New Roman"/>
                <w:b/>
                <w:sz w:val="16"/>
              </w:rPr>
              <w:t>RECORD 12.1</w:t>
            </w:r>
          </w:p>
        </w:tc>
        <w:tc>
          <w:tcPr>
            <w:tcW w:type="dxa" w:w="3120"/>
          </w:tcPr>
          <w:p>
            <w:r/>
            <w:r>
              <w:rPr>
                <w:rFonts w:ascii="Times New Roman" w:hAnsi="Times New Roman"/>
                <w:sz w:val="16"/>
              </w:rPr>
              <w:t>Authors should describe the extent to which the investigators had access to the database population used to create the study population.</w:t>
            </w:r>
          </w:p>
        </w:tc>
        <w:tc>
          <w:tcPr>
            <w:tcW w:type="dxa" w:w="3120"/>
          </w:tcPr>
          <w:p>
            <w:r/>
            <w:r>
              <w:rPr>
                <w:rFonts w:ascii="Times New Roman" w:hAnsi="Times New Roman"/>
                <w:sz w:val="16"/>
              </w:rPr>
              <w:t>All data sources are publicly available national aggregate statistics</w:t>
            </w:r>
          </w:p>
        </w:tc>
      </w:tr>
      <w:tr>
        <w:tc>
          <w:tcPr>
            <w:tcW w:type="dxa" w:w="3120"/>
          </w:tcPr>
          <w:p>
            <w:r/>
            <w:r>
              <w:rPr>
                <w:rFonts w:ascii="Times New Roman" w:hAnsi="Times New Roman"/>
                <w:b/>
                <w:sz w:val="16"/>
              </w:rPr>
              <w:t>RECORD 12.2</w:t>
            </w:r>
          </w:p>
        </w:tc>
        <w:tc>
          <w:tcPr>
            <w:tcW w:type="dxa" w:w="3120"/>
          </w:tcPr>
          <w:p>
            <w:r/>
            <w:r>
              <w:rPr>
                <w:rFonts w:ascii="Times New Roman" w:hAnsi="Times New Roman"/>
                <w:sz w:val="16"/>
              </w:rPr>
              <w:t>Authors should provide information on the data cleaning methods used.</w:t>
            </w:r>
          </w:p>
        </w:tc>
        <w:tc>
          <w:tcPr>
            <w:tcW w:type="dxa" w:w="3120"/>
          </w:tcPr>
          <w:p>
            <w:r/>
            <w:r>
              <w:rPr>
                <w:rFonts w:ascii="Times New Roman" w:hAnsi="Times New Roman"/>
                <w:sz w:val="16"/>
              </w:rPr>
              <w:t>Methods: Biennial data interpolated; min–max normalisation for composite</w:t>
            </w:r>
          </w:p>
        </w:tc>
      </w:tr>
      <w:tr>
        <w:tc>
          <w:tcPr>
            <w:tcW w:type="dxa" w:w="3120"/>
          </w:tcPr>
          <w:p>
            <w:r/>
            <w:r>
              <w:rPr>
                <w:rFonts w:ascii="Times New Roman" w:hAnsi="Times New Roman"/>
                <w:b/>
                <w:sz w:val="16"/>
              </w:rPr>
              <w:t>RECORD 13.1</w:t>
            </w:r>
          </w:p>
        </w:tc>
        <w:tc>
          <w:tcPr>
            <w:tcW w:type="dxa" w:w="3120"/>
          </w:tcPr>
          <w:p>
            <w:r/>
            <w:r>
              <w:rPr>
                <w:rFonts w:ascii="Times New Roman" w:hAnsi="Times New Roman"/>
                <w:sz w:val="16"/>
              </w:rPr>
              <w:t>Describe in detail the selection of the persons included in the study.</w:t>
            </w:r>
          </w:p>
        </w:tc>
        <w:tc>
          <w:tcPr>
            <w:tcW w:type="dxa" w:w="3120"/>
          </w:tcPr>
          <w:p>
            <w:r/>
            <w:r>
              <w:rPr>
                <w:rFonts w:ascii="Times New Roman" w:hAnsi="Times New Roman"/>
                <w:sz w:val="16"/>
              </w:rPr>
              <w:t>Methods: Specialties analysed (12 core specialties)</w:t>
            </w:r>
          </w:p>
        </w:tc>
      </w:tr>
      <w:tr>
        <w:tc>
          <w:tcPr>
            <w:tcW w:type="dxa" w:w="3120"/>
          </w:tcPr>
          <w:p>
            <w:r/>
            <w:r>
              <w:rPr>
                <w:rFonts w:ascii="Times New Roman" w:hAnsi="Times New Roman"/>
                <w:b/>
                <w:sz w:val="16"/>
              </w:rPr>
              <w:t>RECORD 22.1</w:t>
            </w:r>
          </w:p>
        </w:tc>
        <w:tc>
          <w:tcPr>
            <w:tcW w:type="dxa" w:w="3120"/>
          </w:tcPr>
          <w:p>
            <w:r/>
            <w:r>
              <w:rPr>
                <w:rFonts w:ascii="Times New Roman" w:hAnsi="Times New Roman"/>
                <w:sz w:val="16"/>
              </w:rPr>
              <w:t>Authors should provide information on how to access any supplemental information such as the study protocol, raw data, or programming code.</w:t>
            </w:r>
          </w:p>
        </w:tc>
        <w:tc>
          <w:tcPr>
            <w:tcW w:type="dxa" w:w="3120"/>
          </w:tcPr>
          <w:p>
            <w:r/>
            <w:r>
              <w:rPr>
                <w:rFonts w:ascii="Times New Roman" w:hAnsi="Times New Roman"/>
                <w:sz w:val="16"/>
              </w:rPr>
              <w:t>Declarations: Data sharing; GitHub repository</w:t>
            </w:r>
          </w:p>
        </w:tc>
      </w:tr>
    </w:tbl>
    <w:p/>
    <w:p>
      <w:r>
        <w:br w:type="page"/>
      </w:r>
    </w:p>
    <w:p>
      <w:pPr>
        <w:pStyle w:val="Heading2"/>
      </w:pPr>
      <w:r>
        <w:rPr>
          <w:rFonts w:ascii="Times New Roman" w:hAnsi="Times New Roman"/>
          <w:color w:val="000000"/>
        </w:rPr>
        <w:t>Supplementary Table S2. Full ITS Segmented Regression Results (All 72 Models)</w:t>
      </w:r>
    </w:p>
    <w:p>
      <w:pPr>
        <w:spacing w:after="240" w:line="480" w:lineRule="auto"/>
      </w:pPr>
      <w:r>
        <w:rPr>
          <w:rFonts w:ascii="Times New Roman" w:hAnsi="Times New Roman"/>
          <w:b w:val="0"/>
          <w:i/>
          <w:sz w:val="24"/>
        </w:rPr>
        <w:t>Coefficients from segmented regression models: Yₜ = β₀ + β₁·time + β₂·intervention + β₃·time_after + β₄·accident_rate + εₜ. P values &lt; 0.05 shown in bold in the source data.</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jc w:val="center"/>
            </w:pPr>
            <w:r/>
            <w:r>
              <w:rPr>
                <w:rFonts w:ascii="Times New Roman" w:hAnsi="Times New Roman"/>
                <w:b/>
                <w:sz w:val="14"/>
              </w:rPr>
              <w:t>Specialty</w:t>
            </w:r>
          </w:p>
        </w:tc>
        <w:tc>
          <w:tcPr>
            <w:tcW w:type="dxa" w:w="1040"/>
          </w:tcPr>
          <w:p>
            <w:pPr>
              <w:jc w:val="center"/>
            </w:pPr>
            <w:r/>
            <w:r>
              <w:rPr>
                <w:rFonts w:ascii="Times New Roman" w:hAnsi="Times New Roman"/>
                <w:b/>
                <w:sz w:val="14"/>
              </w:rPr>
              <w:t>Definition</w:t>
            </w:r>
          </w:p>
        </w:tc>
        <w:tc>
          <w:tcPr>
            <w:tcW w:type="dxa" w:w="1040"/>
          </w:tcPr>
          <w:p>
            <w:pPr>
              <w:jc w:val="center"/>
            </w:pPr>
            <w:r/>
            <w:r>
              <w:rPr>
                <w:rFonts w:ascii="Times New Roman" w:hAnsi="Times New Roman"/>
                <w:b/>
                <w:sz w:val="14"/>
              </w:rPr>
              <w:t>Outcome</w:t>
            </w:r>
          </w:p>
        </w:tc>
        <w:tc>
          <w:tcPr>
            <w:tcW w:type="dxa" w:w="1040"/>
          </w:tcPr>
          <w:p>
            <w:pPr>
              <w:jc w:val="center"/>
            </w:pPr>
            <w:r/>
            <w:r>
              <w:rPr>
                <w:rFonts w:ascii="Times New Roman" w:hAnsi="Times New Roman"/>
                <w:b/>
                <w:sz w:val="14"/>
              </w:rPr>
              <w:t>R²</w:t>
            </w:r>
          </w:p>
        </w:tc>
        <w:tc>
          <w:tcPr>
            <w:tcW w:type="dxa" w:w="1040"/>
          </w:tcPr>
          <w:p>
            <w:pPr>
              <w:jc w:val="center"/>
            </w:pPr>
            <w:r/>
            <w:r>
              <w:rPr>
                <w:rFonts w:ascii="Times New Roman" w:hAnsi="Times New Roman"/>
                <w:b/>
                <w:sz w:val="14"/>
              </w:rPr>
              <w:t>Intervention yr</w:t>
            </w:r>
          </w:p>
        </w:tc>
        <w:tc>
          <w:tcPr>
            <w:tcW w:type="dxa" w:w="1040"/>
          </w:tcPr>
          <w:p>
            <w:pPr>
              <w:jc w:val="center"/>
            </w:pPr>
            <w:r/>
            <w:r>
              <w:rPr>
                <w:rFonts w:ascii="Times New Roman" w:hAnsi="Times New Roman"/>
                <w:b/>
                <w:sz w:val="14"/>
              </w:rPr>
              <w:t>Trend coef (P)</w:t>
            </w:r>
          </w:p>
        </w:tc>
        <w:tc>
          <w:tcPr>
            <w:tcW w:type="dxa" w:w="1040"/>
          </w:tcPr>
          <w:p>
            <w:pPr>
              <w:jc w:val="center"/>
            </w:pPr>
            <w:r/>
            <w:r>
              <w:rPr>
                <w:rFonts w:ascii="Times New Roman" w:hAnsi="Times New Roman"/>
                <w:b/>
                <w:sz w:val="14"/>
              </w:rPr>
              <w:t>Level change (P)</w:t>
            </w:r>
          </w:p>
        </w:tc>
        <w:tc>
          <w:tcPr>
            <w:tcW w:type="dxa" w:w="1040"/>
          </w:tcPr>
          <w:p>
            <w:pPr>
              <w:jc w:val="center"/>
            </w:pPr>
            <w:r/>
            <w:r>
              <w:rPr>
                <w:rFonts w:ascii="Times New Roman" w:hAnsi="Times New Roman"/>
                <w:b/>
                <w:sz w:val="14"/>
              </w:rPr>
              <w:t>Slope change (P)</w:t>
            </w:r>
          </w:p>
        </w:tc>
        <w:tc>
          <w:tcPr>
            <w:tcW w:type="dxa" w:w="1040"/>
          </w:tcPr>
          <w:p>
            <w:pPr>
              <w:jc w:val="center"/>
            </w:pPr>
            <w:r/>
            <w:r>
              <w:rPr>
                <w:rFonts w:ascii="Times New Roman" w:hAnsi="Times New Roman"/>
                <w:b/>
                <w:sz w:val="14"/>
              </w:rPr>
              <w:t>Accident effect (P)</w:t>
            </w:r>
          </w:p>
        </w:tc>
      </w:tr>
      <w:tr>
        <w:tc>
          <w:tcPr>
            <w:tcW w:type="dxa" w:w="1040"/>
          </w:tcPr>
          <w:p>
            <w:r/>
            <w:r>
              <w:rPr>
                <w:rFonts w:ascii="Times New Roman" w:hAnsi="Times New Roman"/>
                <w:sz w:val="14"/>
              </w:rPr>
              <w:t>Internal medicine</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0.998</w:t>
            </w:r>
          </w:p>
        </w:tc>
        <w:tc>
          <w:tcPr>
            <w:tcW w:type="dxa" w:w="1040"/>
          </w:tcPr>
          <w:p>
            <w:pPr>
              <w:jc w:val="center"/>
            </w:pPr>
            <w:r/>
            <w:r>
              <w:rPr>
                <w:rFonts w:ascii="Times New Roman" w:hAnsi="Times New Roman"/>
                <w:sz w:val="14"/>
              </w:rPr>
              <w:t>2024</w:t>
            </w:r>
          </w:p>
        </w:tc>
        <w:tc>
          <w:tcPr>
            <w:tcW w:type="dxa" w:w="1040"/>
          </w:tcPr>
          <w:p>
            <w:pPr>
              <w:jc w:val="center"/>
            </w:pPr>
            <w:r/>
            <w:r>
              <w:rPr>
                <w:rFonts w:ascii="Times New Roman" w:hAnsi="Times New Roman"/>
                <w:sz w:val="14"/>
              </w:rPr>
              <w:t>374.4 (0.000)</w:t>
            </w:r>
          </w:p>
        </w:tc>
        <w:tc>
          <w:tcPr>
            <w:tcW w:type="dxa" w:w="1040"/>
          </w:tcPr>
          <w:p>
            <w:pPr>
              <w:jc w:val="center"/>
            </w:pPr>
            <w:r/>
            <w:r>
              <w:rPr>
                <w:rFonts w:ascii="Times New Roman" w:hAnsi="Times New Roman"/>
                <w:sz w:val="14"/>
              </w:rPr>
              <w:t>-82.6 (0.302)</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1.8 (0.407)</w:t>
            </w:r>
          </w:p>
        </w:tc>
      </w:tr>
      <w:tr>
        <w:tc>
          <w:tcPr>
            <w:tcW w:type="dxa" w:w="1040"/>
          </w:tcPr>
          <w:p>
            <w:r/>
            <w:r>
              <w:rPr>
                <w:rFonts w:ascii="Times New Roman" w:hAnsi="Times New Roman"/>
                <w:sz w:val="14"/>
              </w:rPr>
              <w:t>Internal medicine</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0.991</w:t>
            </w:r>
          </w:p>
        </w:tc>
        <w:tc>
          <w:tcPr>
            <w:tcW w:type="dxa" w:w="1040"/>
          </w:tcPr>
          <w:p>
            <w:pPr>
              <w:jc w:val="center"/>
            </w:pPr>
            <w:r/>
            <w:r>
              <w:rPr>
                <w:rFonts w:ascii="Times New Roman" w:hAnsi="Times New Roman"/>
                <w:sz w:val="14"/>
              </w:rPr>
              <w:t>2024</w:t>
            </w:r>
          </w:p>
        </w:tc>
        <w:tc>
          <w:tcPr>
            <w:tcW w:type="dxa" w:w="1040"/>
          </w:tcPr>
          <w:p>
            <w:pPr>
              <w:jc w:val="center"/>
            </w:pPr>
            <w:r/>
            <w:r>
              <w:rPr>
                <w:rFonts w:ascii="Times New Roman" w:hAnsi="Times New Roman"/>
                <w:sz w:val="14"/>
              </w:rPr>
              <w:t>-245.4 (0.000)</w:t>
            </w:r>
          </w:p>
        </w:tc>
        <w:tc>
          <w:tcPr>
            <w:tcW w:type="dxa" w:w="1040"/>
          </w:tcPr>
          <w:p>
            <w:pPr>
              <w:jc w:val="center"/>
            </w:pPr>
            <w:r/>
            <w:r>
              <w:rPr>
                <w:rFonts w:ascii="Times New Roman" w:hAnsi="Times New Roman"/>
                <w:sz w:val="14"/>
              </w:rPr>
              <w:t>253.4 (0.050)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-5.1 (0.119)</w:t>
            </w:r>
          </w:p>
        </w:tc>
      </w:tr>
      <w:tr>
        <w:tc>
          <w:tcPr>
            <w:tcW w:type="dxa" w:w="1040"/>
          </w:tcPr>
          <w:p>
            <w:r/>
            <w:r>
              <w:rPr>
                <w:rFonts w:ascii="Times New Roman" w:hAnsi="Times New Roman"/>
                <w:sz w:val="14"/>
              </w:rPr>
              <w:t>Internal medicine</w:t>
            </w:r>
          </w:p>
        </w:tc>
        <w:tc>
          <w:tcPr>
            <w:tcW w:type="dxa" w:w="1040"/>
          </w:tcPr>
          <w:p>
            <w:pPr>
              <w:jc w:val="center"/>
            </w:pPr>
            <w:r/>
            <w:r>
              <w:rPr>
                <w:rFonts w:ascii="Times New Roman" w:hAnsi="Times New Roman"/>
                <w:sz w:val="14"/>
              </w:rPr>
              <w:t>Litigation</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0.910</w:t>
            </w:r>
          </w:p>
        </w:tc>
        <w:tc>
          <w:tcPr>
            <w:tcW w:type="dxa" w:w="1040"/>
          </w:tcPr>
          <w:p>
            <w:pPr>
              <w:jc w:val="center"/>
            </w:pPr>
            <w:r/>
            <w:r>
              <w:rPr>
                <w:rFonts w:ascii="Times New Roman" w:hAnsi="Times New Roman"/>
                <w:sz w:val="14"/>
              </w:rPr>
              <w:t>2004</w:t>
            </w:r>
          </w:p>
        </w:tc>
        <w:tc>
          <w:tcPr>
            <w:tcW w:type="dxa" w:w="1040"/>
          </w:tcPr>
          <w:p>
            <w:pPr>
              <w:jc w:val="center"/>
            </w:pPr>
            <w:r/>
            <w:r>
              <w:rPr>
                <w:rFonts w:ascii="Times New Roman" w:hAnsi="Times New Roman"/>
                <w:sz w:val="14"/>
              </w:rPr>
              <w:t>321.1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17.4 (0.033)</w:t>
            </w:r>
          </w:p>
        </w:tc>
      </w:tr>
      <w:tr>
        <w:tc>
          <w:tcPr>
            <w:tcW w:type="dxa" w:w="1040"/>
          </w:tcPr>
          <w:p>
            <w:r/>
            <w:r>
              <w:rPr>
                <w:rFonts w:ascii="Times New Roman" w:hAnsi="Times New Roman"/>
                <w:sz w:val="14"/>
              </w:rPr>
              <w:t>Internal medicine</w:t>
            </w:r>
          </w:p>
        </w:tc>
        <w:tc>
          <w:tcPr>
            <w:tcW w:type="dxa" w:w="1040"/>
          </w:tcPr>
          <w:p>
            <w:pPr>
              <w:jc w:val="center"/>
            </w:pPr>
            <w:r/>
            <w:r>
              <w:rPr>
                <w:rFonts w:ascii="Times New Roman" w:hAnsi="Times New Roman"/>
                <w:sz w:val="14"/>
              </w:rPr>
              <w:t>Litigation</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0.979</w:t>
            </w:r>
          </w:p>
        </w:tc>
        <w:tc>
          <w:tcPr>
            <w:tcW w:type="dxa" w:w="1040"/>
          </w:tcPr>
          <w:p>
            <w:pPr>
              <w:jc w:val="center"/>
            </w:pPr>
            <w:r/>
            <w:r>
              <w:rPr>
                <w:rFonts w:ascii="Times New Roman" w:hAnsi="Times New Roman"/>
                <w:sz w:val="14"/>
              </w:rPr>
              <w:t>2005</w:t>
            </w:r>
          </w:p>
        </w:tc>
        <w:tc>
          <w:tcPr>
            <w:tcW w:type="dxa" w:w="1040"/>
          </w:tcPr>
          <w:p>
            <w:pPr>
              <w:jc w:val="center"/>
            </w:pPr>
            <w:r/>
            <w:r>
              <w:rPr>
                <w:rFonts w:ascii="Times New Roman" w:hAnsi="Times New Roman"/>
                <w:sz w:val="14"/>
              </w:rPr>
              <w:t>-358.2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15.6 (0.015)</w:t>
            </w:r>
          </w:p>
        </w:tc>
      </w:tr>
      <w:tr>
        <w:tc>
          <w:tcPr>
            <w:tcW w:type="dxa" w:w="1040"/>
          </w:tcPr>
          <w:p>
            <w:r/>
            <w:r>
              <w:rPr>
                <w:rFonts w:ascii="Times New Roman" w:hAnsi="Times New Roman"/>
                <w:sz w:val="14"/>
              </w:rPr>
              <w:t>General surgery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0.992</w:t>
            </w:r>
          </w:p>
        </w:tc>
        <w:tc>
          <w:tcPr>
            <w:tcW w:type="dxa" w:w="1040"/>
          </w:tcPr>
          <w:p>
            <w:pPr>
              <w:jc w:val="center"/>
            </w:pPr>
            <w:r/>
            <w:r>
              <w:rPr>
                <w:rFonts w:ascii="Times New Roman" w:hAnsi="Times New Roman"/>
                <w:sz w:val="14"/>
              </w:rPr>
              <w:t>2016</w:t>
            </w:r>
          </w:p>
        </w:tc>
        <w:tc>
          <w:tcPr>
            <w:tcW w:type="dxa" w:w="1040"/>
          </w:tcPr>
          <w:p>
            <w:pPr>
              <w:jc w:val="center"/>
            </w:pPr>
            <w:r/>
            <w:r>
              <w:rPr>
                <w:rFonts w:ascii="Times New Roman" w:hAnsi="Times New Roman"/>
                <w:sz w:val="14"/>
              </w:rPr>
              <w:t>-247.5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-3.0 (0.093)</w:t>
            </w:r>
          </w:p>
        </w:tc>
      </w:tr>
      <w:tr>
        <w:tc>
          <w:tcPr>
            <w:tcW w:type="dxa" w:w="1040"/>
          </w:tcPr>
          <w:p>
            <w:r/>
            <w:r>
              <w:rPr>
                <w:rFonts w:ascii="Times New Roman" w:hAnsi="Times New Roman"/>
                <w:sz w:val="14"/>
              </w:rPr>
              <w:t>General surgery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0.993</w:t>
            </w:r>
          </w:p>
        </w:tc>
        <w:tc>
          <w:tcPr>
            <w:tcW w:type="dxa" w:w="1040"/>
          </w:tcPr>
          <w:p>
            <w:pPr>
              <w:jc w:val="center"/>
            </w:pPr>
            <w:r/>
            <w:r>
              <w:rPr>
                <w:rFonts w:ascii="Times New Roman" w:hAnsi="Times New Roman"/>
                <w:sz w:val="14"/>
              </w:rPr>
              <w:t>2016</w:t>
            </w:r>
          </w:p>
        </w:tc>
        <w:tc>
          <w:tcPr>
            <w:tcW w:type="dxa" w:w="1040"/>
          </w:tcPr>
          <w:p>
            <w:pPr>
              <w:jc w:val="center"/>
            </w:pPr>
            <w:r/>
            <w:r>
              <w:rPr>
                <w:rFonts w:ascii="Times New Roman" w:hAnsi="Times New Roman"/>
                <w:sz w:val="14"/>
              </w:rPr>
              <w:t>-339.6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-2.4 (0.264)</w:t>
            </w:r>
          </w:p>
        </w:tc>
      </w:tr>
      <w:tr>
        <w:tc>
          <w:tcPr>
            <w:tcW w:type="dxa" w:w="1040"/>
          </w:tcPr>
          <w:p>
            <w:r/>
            <w:r>
              <w:rPr>
                <w:rFonts w:ascii="Times New Roman" w:hAnsi="Times New Roman"/>
                <w:sz w:val="14"/>
              </w:rPr>
              <w:t>General surgery</w:t>
            </w:r>
          </w:p>
        </w:tc>
        <w:tc>
          <w:tcPr>
            <w:tcW w:type="dxa" w:w="1040"/>
          </w:tcPr>
          <w:p>
            <w:pPr>
              <w:jc w:val="center"/>
            </w:pPr>
            <w:r/>
            <w:r>
              <w:rPr>
                <w:rFonts w:ascii="Times New Roman" w:hAnsi="Times New Roman"/>
                <w:sz w:val="14"/>
              </w:rPr>
              <w:t>Litigation</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0.987</w:t>
            </w:r>
          </w:p>
        </w:tc>
        <w:tc>
          <w:tcPr>
            <w:tcW w:type="dxa" w:w="1040"/>
          </w:tcPr>
          <w:p>
            <w:pPr>
              <w:jc w:val="center"/>
            </w:pPr>
            <w:r/>
            <w:r>
              <w:rPr>
                <w:rFonts w:ascii="Times New Roman" w:hAnsi="Times New Roman"/>
                <w:sz w:val="14"/>
              </w:rPr>
              <w:t>2005</w:t>
            </w:r>
          </w:p>
        </w:tc>
        <w:tc>
          <w:tcPr>
            <w:tcW w:type="dxa" w:w="1040"/>
          </w:tcPr>
          <w:p>
            <w:pPr>
              <w:jc w:val="center"/>
            </w:pPr>
            <w:r/>
            <w:r>
              <w:rPr>
                <w:rFonts w:ascii="Times New Roman" w:hAnsi="Times New Roman"/>
                <w:sz w:val="14"/>
              </w:rPr>
              <w:t>-310.8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20.7 (0.000)</w:t>
            </w:r>
          </w:p>
        </w:tc>
      </w:tr>
      <w:tr>
        <w:tc>
          <w:tcPr>
            <w:tcW w:type="dxa" w:w="1040"/>
          </w:tcPr>
          <w:p>
            <w:r/>
            <w:r>
              <w:rPr>
                <w:rFonts w:ascii="Times New Roman" w:hAnsi="Times New Roman"/>
                <w:sz w:val="14"/>
              </w:rPr>
              <w:t>General surgery</w:t>
            </w:r>
          </w:p>
        </w:tc>
        <w:tc>
          <w:tcPr>
            <w:tcW w:type="dxa" w:w="1040"/>
          </w:tcPr>
          <w:p>
            <w:pPr>
              <w:jc w:val="center"/>
            </w:pPr>
            <w:r/>
            <w:r>
              <w:rPr>
                <w:rFonts w:ascii="Times New Roman" w:hAnsi="Times New Roman"/>
                <w:sz w:val="14"/>
              </w:rPr>
              <w:t>Litigation</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0.995</w:t>
            </w:r>
          </w:p>
        </w:tc>
        <w:tc>
          <w:tcPr>
            <w:tcW w:type="dxa" w:w="1040"/>
          </w:tcPr>
          <w:p>
            <w:pPr>
              <w:jc w:val="center"/>
            </w:pPr>
            <w:r/>
            <w:r>
              <w:rPr>
                <w:rFonts w:ascii="Times New Roman" w:hAnsi="Times New Roman"/>
                <w:sz w:val="14"/>
              </w:rPr>
              <w:t>2005</w:t>
            </w:r>
          </w:p>
        </w:tc>
        <w:tc>
          <w:tcPr>
            <w:tcW w:type="dxa" w:w="1040"/>
          </w:tcPr>
          <w:p>
            <w:pPr>
              <w:jc w:val="center"/>
            </w:pPr>
            <w:r/>
            <w:r>
              <w:rPr>
                <w:rFonts w:ascii="Times New Roman" w:hAnsi="Times New Roman"/>
                <w:sz w:val="14"/>
              </w:rPr>
              <w:t>-402.8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13.5 (0.000)</w:t>
            </w:r>
          </w:p>
        </w:tc>
      </w:tr>
      <w:tr>
        <w:tc>
          <w:tcPr>
            <w:tcW w:type="dxa" w:w="1040"/>
          </w:tcPr>
          <w:p>
            <w:r/>
            <w:r>
              <w:rPr>
                <w:rFonts w:ascii="Times New Roman" w:hAnsi="Times New Roman"/>
                <w:sz w:val="14"/>
              </w:rPr>
              <w:t>Orthopaedic surgery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0.999</w:t>
            </w:r>
          </w:p>
        </w:tc>
        <w:tc>
          <w:tcPr>
            <w:tcW w:type="dxa" w:w="1040"/>
          </w:tcPr>
          <w:p>
            <w:pPr>
              <w:jc w:val="center"/>
            </w:pPr>
            <w:r/>
            <w:r>
              <w:rPr>
                <w:rFonts w:ascii="Times New Roman" w:hAnsi="Times New Roman"/>
                <w:sz w:val="14"/>
              </w:rPr>
              <w:t>2017</w:t>
            </w:r>
          </w:p>
        </w:tc>
        <w:tc>
          <w:tcPr>
            <w:tcW w:type="dxa" w:w="1040"/>
          </w:tcPr>
          <w:p>
            <w:pPr>
              <w:jc w:val="center"/>
            </w:pPr>
            <w:r/>
            <w:r>
              <w:rPr>
                <w:rFonts w:ascii="Times New Roman" w:hAnsi="Times New Roman"/>
                <w:sz w:val="14"/>
              </w:rPr>
              <w:t>159.5 (0.040)</w:t>
            </w:r>
          </w:p>
        </w:tc>
        <w:tc>
          <w:tcPr>
            <w:tcW w:type="dxa" w:w="1040"/>
          </w:tcPr>
          <w:p>
            <w:pPr>
              <w:jc w:val="center"/>
            </w:pPr>
            <w:r/>
            <w:r>
              <w:rPr>
                <w:rFonts w:ascii="Times New Roman" w:hAnsi="Times New Roman"/>
                <w:sz w:val="14"/>
              </w:rPr>
              <w:t>43.9 (0.557)</w:t>
            </w:r>
          </w:p>
        </w:tc>
        <w:tc>
          <w:tcPr>
            <w:tcW w:type="dxa" w:w="1040"/>
          </w:tcPr>
          <w:p>
            <w:pPr>
              <w:jc w:val="center"/>
            </w:pPr>
            <w:r/>
            <w:r>
              <w:rPr>
                <w:rFonts w:ascii="Times New Roman" w:hAnsi="Times New Roman"/>
                <w:sz w:val="14"/>
              </w:rPr>
              <w:t>29.9 (0.638)</w:t>
            </w:r>
          </w:p>
        </w:tc>
        <w:tc>
          <w:tcPr>
            <w:tcW w:type="dxa" w:w="1040"/>
          </w:tcPr>
          <w:p>
            <w:pPr>
              <w:jc w:val="center"/>
            </w:pPr>
            <w:r/>
            <w:r>
              <w:rPr>
                <w:rFonts w:ascii="Times New Roman" w:hAnsi="Times New Roman"/>
                <w:sz w:val="14"/>
              </w:rPr>
              <w:t>1.2 (0.552)</w:t>
            </w:r>
          </w:p>
        </w:tc>
      </w:tr>
      <w:tr>
        <w:tc>
          <w:tcPr>
            <w:tcW w:type="dxa" w:w="1040"/>
          </w:tcPr>
          <w:p>
            <w:r/>
            <w:r>
              <w:rPr>
                <w:rFonts w:ascii="Times New Roman" w:hAnsi="Times New Roman"/>
                <w:sz w:val="14"/>
              </w:rPr>
              <w:t>Orthopaedic surgery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0.996</w:t>
            </w:r>
          </w:p>
        </w:tc>
        <w:tc>
          <w:tcPr>
            <w:tcW w:type="dxa" w:w="1040"/>
          </w:tcPr>
          <w:p>
            <w:pPr>
              <w:jc w:val="center"/>
            </w:pPr>
            <w:r/>
            <w:r>
              <w:rPr>
                <w:rFonts w:ascii="Times New Roman" w:hAnsi="Times New Roman"/>
                <w:sz w:val="14"/>
              </w:rPr>
              <w:t>2017</w:t>
            </w:r>
          </w:p>
        </w:tc>
        <w:tc>
          <w:tcPr>
            <w:tcW w:type="dxa" w:w="1040"/>
          </w:tcPr>
          <w:p>
            <w:pPr>
              <w:jc w:val="center"/>
            </w:pPr>
            <w:r/>
            <w:r>
              <w:rPr>
                <w:rFonts w:ascii="Times New Roman" w:hAnsi="Times New Roman"/>
                <w:sz w:val="14"/>
              </w:rPr>
              <w:t>-62.6 (0.023)</w:t>
            </w:r>
          </w:p>
        </w:tc>
        <w:tc>
          <w:tcPr>
            <w:tcW w:type="dxa" w:w="1040"/>
          </w:tcPr>
          <w:p>
            <w:pPr>
              <w:jc w:val="center"/>
            </w:pPr>
            <w:r/>
            <w:r>
              <w:rPr>
                <w:rFonts w:ascii="Times New Roman" w:hAnsi="Times New Roman"/>
                <w:sz w:val="14"/>
              </w:rPr>
              <w:t>10.2 (0.682)</w:t>
            </w:r>
          </w:p>
        </w:tc>
        <w:tc>
          <w:tcPr>
            <w:tcW w:type="dxa" w:w="1040"/>
          </w:tcPr>
          <w:p>
            <w:pPr>
              <w:jc w:val="center"/>
            </w:pPr>
            <w:r/>
            <w:r>
              <w:rPr>
                <w:rFonts w:ascii="Times New Roman" w:hAnsi="Times New Roman"/>
                <w:sz w:val="14"/>
              </w:rPr>
              <w:t>33.8 (0.154)</w:t>
            </w:r>
          </w:p>
        </w:tc>
        <w:tc>
          <w:tcPr>
            <w:tcW w:type="dxa" w:w="1040"/>
          </w:tcPr>
          <w:p>
            <w:pPr>
              <w:jc w:val="center"/>
            </w:pPr>
            <w:r/>
            <w:r>
              <w:rPr>
                <w:rFonts w:ascii="Times New Roman" w:hAnsi="Times New Roman"/>
                <w:sz w:val="14"/>
              </w:rPr>
              <w:t>0.5 (0.460)</w:t>
            </w:r>
          </w:p>
        </w:tc>
      </w:tr>
      <w:tr>
        <w:tc>
          <w:tcPr>
            <w:tcW w:type="dxa" w:w="1040"/>
          </w:tcPr>
          <w:p>
            <w:r/>
            <w:r>
              <w:rPr>
                <w:rFonts w:ascii="Times New Roman" w:hAnsi="Times New Roman"/>
                <w:sz w:val="14"/>
              </w:rPr>
              <w:t>Orthopaedic surgery</w:t>
            </w:r>
          </w:p>
        </w:tc>
        <w:tc>
          <w:tcPr>
            <w:tcW w:type="dxa" w:w="1040"/>
          </w:tcPr>
          <w:p>
            <w:pPr>
              <w:jc w:val="center"/>
            </w:pPr>
            <w:r/>
            <w:r>
              <w:rPr>
                <w:rFonts w:ascii="Times New Roman" w:hAnsi="Times New Roman"/>
                <w:sz w:val="14"/>
              </w:rPr>
              <w:t>Litigation</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0.993</w:t>
            </w:r>
          </w:p>
        </w:tc>
        <w:tc>
          <w:tcPr>
            <w:tcW w:type="dxa" w:w="1040"/>
          </w:tcPr>
          <w:p>
            <w:pPr>
              <w:jc w:val="center"/>
            </w:pPr>
            <w:r/>
            <w:r>
              <w:rPr>
                <w:rFonts w:ascii="Times New Roman" w:hAnsi="Times New Roman"/>
                <w:sz w:val="14"/>
              </w:rPr>
              <w:t>2004</w:t>
            </w:r>
          </w:p>
        </w:tc>
        <w:tc>
          <w:tcPr>
            <w:tcW w:type="dxa" w:w="1040"/>
          </w:tcPr>
          <w:p>
            <w:pPr>
              <w:jc w:val="center"/>
            </w:pPr>
            <w:r/>
            <w:r>
              <w:rPr>
                <w:rFonts w:ascii="Times New Roman" w:hAnsi="Times New Roman"/>
                <w:sz w:val="14"/>
              </w:rPr>
              <w:t>179.2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10.7 (0.000)</w:t>
            </w:r>
          </w:p>
        </w:tc>
      </w:tr>
      <w:tr>
        <w:tc>
          <w:tcPr>
            <w:tcW w:type="dxa" w:w="1040"/>
          </w:tcPr>
          <w:p>
            <w:r/>
            <w:r>
              <w:rPr>
                <w:rFonts w:ascii="Times New Roman" w:hAnsi="Times New Roman"/>
                <w:sz w:val="14"/>
              </w:rPr>
              <w:t>Orthopaedic surgery</w:t>
            </w:r>
          </w:p>
        </w:tc>
        <w:tc>
          <w:tcPr>
            <w:tcW w:type="dxa" w:w="1040"/>
          </w:tcPr>
          <w:p>
            <w:pPr>
              <w:jc w:val="center"/>
            </w:pPr>
            <w:r/>
            <w:r>
              <w:rPr>
                <w:rFonts w:ascii="Times New Roman" w:hAnsi="Times New Roman"/>
                <w:sz w:val="14"/>
              </w:rPr>
              <w:t>Litigation</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0.995</w:t>
            </w:r>
          </w:p>
        </w:tc>
        <w:tc>
          <w:tcPr>
            <w:tcW w:type="dxa" w:w="1040"/>
          </w:tcPr>
          <w:p>
            <w:pPr>
              <w:jc w:val="center"/>
            </w:pPr>
            <w:r/>
            <w:r>
              <w:rPr>
                <w:rFonts w:ascii="Times New Roman" w:hAnsi="Times New Roman"/>
                <w:sz w:val="14"/>
              </w:rPr>
              <w:t>2005</w:t>
            </w:r>
          </w:p>
        </w:tc>
        <w:tc>
          <w:tcPr>
            <w:tcW w:type="dxa" w:w="1040"/>
          </w:tcPr>
          <w:p>
            <w:pPr>
              <w:jc w:val="center"/>
            </w:pPr>
            <w:r/>
            <w:r>
              <w:rPr>
                <w:rFonts w:ascii="Times New Roman" w:hAnsi="Times New Roman"/>
                <w:sz w:val="14"/>
              </w:rPr>
              <w:t>-45.8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5.3 (0.000)</w:t>
            </w:r>
          </w:p>
        </w:tc>
      </w:tr>
      <w:tr>
        <w:tc>
          <w:tcPr>
            <w:tcW w:type="dxa" w:w="1040"/>
          </w:tcPr>
          <w:p>
            <w:r/>
            <w:r>
              <w:rPr>
                <w:rFonts w:ascii="Times New Roman" w:hAnsi="Times New Roman"/>
                <w:sz w:val="14"/>
              </w:rPr>
              <w:t>Plastic surgery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0.999</w:t>
            </w:r>
          </w:p>
        </w:tc>
        <w:tc>
          <w:tcPr>
            <w:tcW w:type="dxa" w:w="1040"/>
          </w:tcPr>
          <w:p>
            <w:pPr>
              <w:jc w:val="center"/>
            </w:pPr>
            <w:r/>
            <w:r>
              <w:rPr>
                <w:rFonts w:ascii="Times New Roman" w:hAnsi="Times New Roman"/>
                <w:sz w:val="14"/>
              </w:rPr>
              <w:t>2018</w:t>
            </w:r>
          </w:p>
        </w:tc>
        <w:tc>
          <w:tcPr>
            <w:tcW w:type="dxa" w:w="1040"/>
          </w:tcPr>
          <w:p>
            <w:pPr>
              <w:jc w:val="center"/>
            </w:pPr>
            <w:r/>
            <w:r>
              <w:rPr>
                <w:rFonts w:ascii="Times New Roman" w:hAnsi="Times New Roman"/>
                <w:sz w:val="14"/>
              </w:rPr>
              <w:t>88.0 (0.000)</w:t>
            </w:r>
          </w:p>
        </w:tc>
        <w:tc>
          <w:tcPr>
            <w:tcW w:type="dxa" w:w="1040"/>
          </w:tcPr>
          <w:p>
            <w:pPr>
              <w:jc w:val="center"/>
            </w:pPr>
            <w:r/>
            <w:r>
              <w:rPr>
                <w:rFonts w:ascii="Times New Roman" w:hAnsi="Times New Roman"/>
                <w:sz w:val="14"/>
              </w:rPr>
              <w:t>-38.2 (0.060)</w:t>
            </w:r>
          </w:p>
        </w:tc>
        <w:tc>
          <w:tcPr>
            <w:tcW w:type="dxa" w:w="1040"/>
          </w:tcPr>
          <w:p>
            <w:pPr>
              <w:jc w:val="center"/>
            </w:pPr>
            <w:r/>
            <w:r>
              <w:rPr>
                <w:rFonts w:ascii="Times New Roman" w:hAnsi="Times New Roman"/>
                <w:sz w:val="14"/>
              </w:rPr>
              <w:t>3.8 (0.570)</w:t>
            </w:r>
          </w:p>
        </w:tc>
        <w:tc>
          <w:tcPr>
            <w:tcW w:type="dxa" w:w="1040"/>
          </w:tcPr>
          <w:p>
            <w:pPr>
              <w:jc w:val="center"/>
            </w:pPr>
            <w:r/>
            <w:r>
              <w:rPr>
                <w:rFonts w:ascii="Times New Roman" w:hAnsi="Times New Roman"/>
                <w:sz w:val="14"/>
              </w:rPr>
              <w:t>4.9 (0.167)</w:t>
            </w:r>
          </w:p>
        </w:tc>
      </w:tr>
      <w:tr>
        <w:tc>
          <w:tcPr>
            <w:tcW w:type="dxa" w:w="1040"/>
          </w:tcPr>
          <w:p>
            <w:r/>
            <w:r>
              <w:rPr>
                <w:rFonts w:ascii="Times New Roman" w:hAnsi="Times New Roman"/>
                <w:sz w:val="14"/>
              </w:rPr>
              <w:t>Plastic surgery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2018</w:t>
            </w:r>
          </w:p>
        </w:tc>
        <w:tc>
          <w:tcPr>
            <w:tcW w:type="dxa" w:w="1040"/>
          </w:tcPr>
          <w:p>
            <w:pPr>
              <w:jc w:val="center"/>
            </w:pPr>
            <w:r/>
            <w:r>
              <w:rPr>
                <w:rFonts w:ascii="Times New Roman" w:hAnsi="Times New Roman"/>
                <w:sz w:val="14"/>
              </w:rPr>
              <w:t>82.5 (0.000)</w:t>
            </w:r>
          </w:p>
        </w:tc>
        <w:tc>
          <w:tcPr>
            <w:tcW w:type="dxa" w:w="1040"/>
          </w:tcPr>
          <w:p>
            <w:pPr>
              <w:jc w:val="center"/>
            </w:pPr>
            <w:r/>
            <w:r>
              <w:rPr>
                <w:rFonts w:ascii="Times New Roman" w:hAnsi="Times New Roman"/>
                <w:sz w:val="14"/>
              </w:rPr>
              <w:t>-7.3 (0.411)</w:t>
            </w:r>
          </w:p>
        </w:tc>
        <w:tc>
          <w:tcPr>
            <w:tcW w:type="dxa" w:w="1040"/>
          </w:tcPr>
          <w:p>
            <w:pPr>
              <w:jc w:val="center"/>
            </w:pPr>
            <w:r/>
            <w:r>
              <w:rPr>
                <w:rFonts w:ascii="Times New Roman" w:hAnsi="Times New Roman"/>
                <w:sz w:val="14"/>
              </w:rPr>
              <w:t>13.4 (0.009)</w:t>
            </w:r>
          </w:p>
        </w:tc>
        <w:tc>
          <w:tcPr>
            <w:tcW w:type="dxa" w:w="1040"/>
          </w:tcPr>
          <w:p>
            <w:pPr>
              <w:jc w:val="center"/>
            </w:pPr>
            <w:r/>
            <w:r>
              <w:rPr>
                <w:rFonts w:ascii="Times New Roman" w:hAnsi="Times New Roman"/>
                <w:sz w:val="14"/>
              </w:rPr>
              <w:t>2.0 (0.248)</w:t>
            </w:r>
          </w:p>
        </w:tc>
      </w:tr>
      <w:tr>
        <w:tc>
          <w:tcPr>
            <w:tcW w:type="dxa" w:w="1040"/>
          </w:tcPr>
          <w:p>
            <w:r/>
            <w:r>
              <w:rPr>
                <w:rFonts w:ascii="Times New Roman" w:hAnsi="Times New Roman"/>
                <w:sz w:val="14"/>
              </w:rPr>
              <w:t>Plastic surgery</w:t>
            </w:r>
          </w:p>
        </w:tc>
        <w:tc>
          <w:tcPr>
            <w:tcW w:type="dxa" w:w="1040"/>
          </w:tcPr>
          <w:p>
            <w:pPr>
              <w:jc w:val="center"/>
            </w:pPr>
            <w:r/>
            <w:r>
              <w:rPr>
                <w:rFonts w:ascii="Times New Roman" w:hAnsi="Times New Roman"/>
                <w:sz w:val="14"/>
              </w:rPr>
              <w:t>Litigation</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2004</w:t>
            </w:r>
          </w:p>
        </w:tc>
        <w:tc>
          <w:tcPr>
            <w:tcW w:type="dxa" w:w="1040"/>
          </w:tcPr>
          <w:p>
            <w:pPr>
              <w:jc w:val="center"/>
            </w:pPr>
            <w:r/>
            <w:r>
              <w:rPr>
                <w:rFonts w:ascii="Times New Roman" w:hAnsi="Times New Roman"/>
                <w:sz w:val="14"/>
              </w:rPr>
              <w:t>86.9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-0.8 (0.110)</w:t>
            </w:r>
          </w:p>
        </w:tc>
      </w:tr>
      <w:tr>
        <w:tc>
          <w:tcPr>
            <w:tcW w:type="dxa" w:w="1040"/>
          </w:tcPr>
          <w:p>
            <w:r/>
            <w:r>
              <w:rPr>
                <w:rFonts w:ascii="Times New Roman" w:hAnsi="Times New Roman"/>
                <w:sz w:val="14"/>
              </w:rPr>
              <w:t>Plastic surgery</w:t>
            </w:r>
          </w:p>
        </w:tc>
        <w:tc>
          <w:tcPr>
            <w:tcW w:type="dxa" w:w="1040"/>
          </w:tcPr>
          <w:p>
            <w:pPr>
              <w:jc w:val="center"/>
            </w:pPr>
            <w:r/>
            <w:r>
              <w:rPr>
                <w:rFonts w:ascii="Times New Roman" w:hAnsi="Times New Roman"/>
                <w:sz w:val="14"/>
              </w:rPr>
              <w:t>Litigation</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0.999</w:t>
            </w:r>
          </w:p>
        </w:tc>
        <w:tc>
          <w:tcPr>
            <w:tcW w:type="dxa" w:w="1040"/>
          </w:tcPr>
          <w:p>
            <w:pPr>
              <w:jc w:val="center"/>
            </w:pPr>
            <w:r/>
            <w:r>
              <w:rPr>
                <w:rFonts w:ascii="Times New Roman" w:hAnsi="Times New Roman"/>
                <w:sz w:val="14"/>
              </w:rPr>
              <w:t>2019</w:t>
            </w:r>
          </w:p>
        </w:tc>
        <w:tc>
          <w:tcPr>
            <w:tcW w:type="dxa" w:w="1040"/>
          </w:tcPr>
          <w:p>
            <w:pPr>
              <w:jc w:val="center"/>
            </w:pPr>
            <w:r/>
            <w:r>
              <w:rPr>
                <w:rFonts w:ascii="Times New Roman" w:hAnsi="Times New Roman"/>
                <w:sz w:val="14"/>
              </w:rPr>
              <w:t>72.9 (0.000)</w:t>
            </w:r>
          </w:p>
        </w:tc>
        <w:tc>
          <w:tcPr>
            <w:tcW w:type="dxa" w:w="1040"/>
          </w:tcPr>
          <w:p>
            <w:pPr>
              <w:jc w:val="center"/>
            </w:pPr>
            <w:r/>
            <w:r>
              <w:rPr>
                <w:rFonts w:ascii="Times New Roman" w:hAnsi="Times New Roman"/>
                <w:sz w:val="14"/>
              </w:rPr>
              <w:t>5.9 (0.776)</w:t>
            </w:r>
          </w:p>
        </w:tc>
        <w:tc>
          <w:tcPr>
            <w:tcW w:type="dxa" w:w="1040"/>
          </w:tcPr>
          <w:p>
            <w:pPr>
              <w:jc w:val="center"/>
            </w:pPr>
            <w:r/>
            <w:r>
              <w:rPr>
                <w:rFonts w:ascii="Times New Roman" w:hAnsi="Times New Roman"/>
                <w:sz w:val="14"/>
              </w:rPr>
              <w:t>22.9 (0.001)</w:t>
            </w:r>
          </w:p>
        </w:tc>
        <w:tc>
          <w:tcPr>
            <w:tcW w:type="dxa" w:w="1040"/>
          </w:tcPr>
          <w:p>
            <w:pPr>
              <w:jc w:val="center"/>
            </w:pPr>
            <w:r/>
            <w:r>
              <w:rPr>
                <w:rFonts w:ascii="Times New Roman" w:hAnsi="Times New Roman"/>
                <w:sz w:val="14"/>
              </w:rPr>
              <w:t>4.1 (0.005)</w:t>
            </w:r>
          </w:p>
        </w:tc>
      </w:tr>
      <w:tr>
        <w:tc>
          <w:tcPr>
            <w:tcW w:type="dxa" w:w="1040"/>
          </w:tcPr>
          <w:p>
            <w:r/>
            <w:r>
              <w:rPr>
                <w:rFonts w:ascii="Times New Roman" w:hAnsi="Times New Roman"/>
                <w:sz w:val="14"/>
              </w:rPr>
              <w:t>Obstetrics &amp; gynaecology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0.995</w:t>
            </w:r>
          </w:p>
        </w:tc>
        <w:tc>
          <w:tcPr>
            <w:tcW w:type="dxa" w:w="1040"/>
          </w:tcPr>
          <w:p>
            <w:pPr>
              <w:jc w:val="center"/>
            </w:pPr>
            <w:r/>
            <w:r>
              <w:rPr>
                <w:rFonts w:ascii="Times New Roman" w:hAnsi="Times New Roman"/>
                <w:sz w:val="14"/>
              </w:rPr>
              <w:t>2017</w:t>
            </w:r>
          </w:p>
        </w:tc>
        <w:tc>
          <w:tcPr>
            <w:tcW w:type="dxa" w:w="1040"/>
          </w:tcPr>
          <w:p>
            <w:pPr>
              <w:jc w:val="center"/>
            </w:pPr>
            <w:r/>
            <w:r>
              <w:rPr>
                <w:rFonts w:ascii="Times New Roman" w:hAnsi="Times New Roman"/>
                <w:sz w:val="14"/>
              </w:rPr>
              <w:t>-10.1 (0.895)</w:t>
            </w:r>
          </w:p>
        </w:tc>
        <w:tc>
          <w:tcPr>
            <w:tcW w:type="dxa" w:w="1040"/>
          </w:tcPr>
          <w:p>
            <w:pPr>
              <w:jc w:val="center"/>
            </w:pPr>
            <w:r/>
            <w:r>
              <w:rPr>
                <w:rFonts w:ascii="Times New Roman" w:hAnsi="Times New Roman"/>
                <w:sz w:val="14"/>
              </w:rPr>
              <w:t>91.1 (0.327)</w:t>
            </w:r>
          </w:p>
        </w:tc>
        <w:tc>
          <w:tcPr>
            <w:tcW w:type="dxa" w:w="1040"/>
          </w:tcPr>
          <w:p>
            <w:pPr>
              <w:jc w:val="center"/>
            </w:pPr>
            <w:r/>
            <w:r>
              <w:rPr>
                <w:rFonts w:ascii="Times New Roman" w:hAnsi="Times New Roman"/>
                <w:sz w:val="14"/>
              </w:rPr>
              <w:t>132.7 (0.158)</w:t>
            </w:r>
          </w:p>
        </w:tc>
        <w:tc>
          <w:tcPr>
            <w:tcW w:type="dxa" w:w="1040"/>
          </w:tcPr>
          <w:p>
            <w:pPr>
              <w:jc w:val="center"/>
            </w:pPr>
            <w:r/>
            <w:r>
              <w:rPr>
                <w:rFonts w:ascii="Times New Roman" w:hAnsi="Times New Roman"/>
                <w:sz w:val="14"/>
              </w:rPr>
              <w:t>17.7 (0.021)</w:t>
            </w:r>
          </w:p>
        </w:tc>
      </w:tr>
      <w:tr>
        <w:tc>
          <w:tcPr>
            <w:tcW w:type="dxa" w:w="1040"/>
          </w:tcPr>
          <w:p>
            <w:r/>
            <w:r>
              <w:rPr>
                <w:rFonts w:ascii="Times New Roman" w:hAnsi="Times New Roman"/>
                <w:sz w:val="14"/>
              </w:rPr>
              <w:t>Obstetrics &amp; gynaecology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0.999</w:t>
            </w:r>
          </w:p>
        </w:tc>
        <w:tc>
          <w:tcPr>
            <w:tcW w:type="dxa" w:w="1040"/>
          </w:tcPr>
          <w:p>
            <w:pPr>
              <w:jc w:val="center"/>
            </w:pPr>
            <w:r/>
            <w:r>
              <w:rPr>
                <w:rFonts w:ascii="Times New Roman" w:hAnsi="Times New Roman"/>
                <w:sz w:val="14"/>
              </w:rPr>
              <w:t>2017</w:t>
            </w:r>
          </w:p>
        </w:tc>
        <w:tc>
          <w:tcPr>
            <w:tcW w:type="dxa" w:w="1040"/>
          </w:tcPr>
          <w:p>
            <w:pPr>
              <w:jc w:val="center"/>
            </w:pPr>
            <w:r/>
            <w:r>
              <w:rPr>
                <w:rFonts w:ascii="Times New Roman" w:hAnsi="Times New Roman"/>
                <w:sz w:val="14"/>
              </w:rPr>
              <w:t>-132.2 (0.002)</w:t>
            </w:r>
          </w:p>
        </w:tc>
        <w:tc>
          <w:tcPr>
            <w:tcW w:type="dxa" w:w="1040"/>
          </w:tcPr>
          <w:p>
            <w:pPr>
              <w:jc w:val="center"/>
            </w:pPr>
            <w:r/>
            <w:r>
              <w:rPr>
                <w:rFonts w:ascii="Times New Roman" w:hAnsi="Times New Roman"/>
                <w:sz w:val="14"/>
              </w:rPr>
              <w:t>26.0 (0.347)</w:t>
            </w:r>
          </w:p>
        </w:tc>
        <w:tc>
          <w:tcPr>
            <w:tcW w:type="dxa" w:w="1040"/>
          </w:tcPr>
          <w:p>
            <w:pPr>
              <w:jc w:val="center"/>
            </w:pPr>
            <w:r/>
            <w:r>
              <w:rPr>
                <w:rFonts w:ascii="Times New Roman" w:hAnsi="Times New Roman"/>
                <w:sz w:val="14"/>
              </w:rPr>
              <w:t>81.3 (0.019)</w:t>
            </w:r>
          </w:p>
        </w:tc>
        <w:tc>
          <w:tcPr>
            <w:tcW w:type="dxa" w:w="1040"/>
          </w:tcPr>
          <w:p>
            <w:pPr>
              <w:jc w:val="center"/>
            </w:pPr>
            <w:r/>
            <w:r>
              <w:rPr>
                <w:rFonts w:ascii="Times New Roman" w:hAnsi="Times New Roman"/>
                <w:sz w:val="14"/>
              </w:rPr>
              <w:t>4.3 (0.042)</w:t>
            </w:r>
          </w:p>
        </w:tc>
      </w:tr>
      <w:tr>
        <w:tc>
          <w:tcPr>
            <w:tcW w:type="dxa" w:w="1040"/>
          </w:tcPr>
          <w:p>
            <w:r/>
            <w:r>
              <w:rPr>
                <w:rFonts w:ascii="Times New Roman" w:hAnsi="Times New Roman"/>
                <w:sz w:val="14"/>
              </w:rPr>
              <w:t>Obstetrics &amp; gynaecology</w:t>
            </w:r>
          </w:p>
        </w:tc>
        <w:tc>
          <w:tcPr>
            <w:tcW w:type="dxa" w:w="1040"/>
          </w:tcPr>
          <w:p>
            <w:pPr>
              <w:jc w:val="center"/>
            </w:pPr>
            <w:r/>
            <w:r>
              <w:rPr>
                <w:rFonts w:ascii="Times New Roman" w:hAnsi="Times New Roman"/>
                <w:sz w:val="14"/>
              </w:rPr>
              <w:t>Litigation</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0.977</w:t>
            </w:r>
          </w:p>
        </w:tc>
        <w:tc>
          <w:tcPr>
            <w:tcW w:type="dxa" w:w="1040"/>
          </w:tcPr>
          <w:p>
            <w:pPr>
              <w:jc w:val="center"/>
            </w:pPr>
            <w:r/>
            <w:r>
              <w:rPr>
                <w:rFonts w:ascii="Times New Roman" w:hAnsi="Times New Roman"/>
                <w:sz w:val="14"/>
              </w:rPr>
              <w:t>2006</w:t>
            </w:r>
          </w:p>
        </w:tc>
        <w:tc>
          <w:tcPr>
            <w:tcW w:type="dxa" w:w="1040"/>
          </w:tcPr>
          <w:p>
            <w:pPr>
              <w:jc w:val="center"/>
            </w:pPr>
            <w:r/>
            <w:r>
              <w:rPr>
                <w:rFonts w:ascii="Times New Roman" w:hAnsi="Times New Roman"/>
                <w:sz w:val="14"/>
              </w:rPr>
              <w:t>71.5 (0.606)</w:t>
            </w:r>
          </w:p>
        </w:tc>
        <w:tc>
          <w:tcPr>
            <w:tcW w:type="dxa" w:w="1040"/>
          </w:tcPr>
          <w:p>
            <w:pPr>
              <w:jc w:val="center"/>
            </w:pPr>
            <w:r/>
            <w:r>
              <w:rPr>
                <w:rFonts w:ascii="Times New Roman" w:hAnsi="Times New Roman"/>
                <w:sz w:val="14"/>
              </w:rPr>
              <w:t>-663.9 (0.007)</w:t>
            </w:r>
          </w:p>
        </w:tc>
        <w:tc>
          <w:tcPr>
            <w:tcW w:type="dxa" w:w="1040"/>
          </w:tcPr>
          <w:p>
            <w:pPr>
              <w:jc w:val="center"/>
            </w:pPr>
            <w:r/>
            <w:r>
              <w:rPr>
                <w:rFonts w:ascii="Times New Roman" w:hAnsi="Times New Roman"/>
                <w:sz w:val="14"/>
              </w:rPr>
              <w:t>92.5 (0.499)</w:t>
            </w:r>
          </w:p>
        </w:tc>
        <w:tc>
          <w:tcPr>
            <w:tcW w:type="dxa" w:w="1040"/>
          </w:tcPr>
          <w:p>
            <w:pPr>
              <w:jc w:val="center"/>
            </w:pPr>
            <w:r/>
            <w:r>
              <w:rPr>
                <w:rFonts w:ascii="Times New Roman" w:hAnsi="Times New Roman"/>
                <w:sz w:val="14"/>
              </w:rPr>
              <w:t>11.6 (0.000)</w:t>
            </w:r>
          </w:p>
        </w:tc>
      </w:tr>
      <w:tr>
        <w:tc>
          <w:tcPr>
            <w:tcW w:type="dxa" w:w="1040"/>
          </w:tcPr>
          <w:p>
            <w:r/>
            <w:r>
              <w:rPr>
                <w:rFonts w:ascii="Times New Roman" w:hAnsi="Times New Roman"/>
                <w:sz w:val="14"/>
              </w:rPr>
              <w:t>Obstetrics &amp; gynaecology</w:t>
            </w:r>
          </w:p>
        </w:tc>
        <w:tc>
          <w:tcPr>
            <w:tcW w:type="dxa" w:w="1040"/>
          </w:tcPr>
          <w:p>
            <w:pPr>
              <w:jc w:val="center"/>
            </w:pPr>
            <w:r/>
            <w:r>
              <w:rPr>
                <w:rFonts w:ascii="Times New Roman" w:hAnsi="Times New Roman"/>
                <w:sz w:val="14"/>
              </w:rPr>
              <w:t>Litigation</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0.984</w:t>
            </w:r>
          </w:p>
        </w:tc>
        <w:tc>
          <w:tcPr>
            <w:tcW w:type="dxa" w:w="1040"/>
          </w:tcPr>
          <w:p>
            <w:pPr>
              <w:jc w:val="center"/>
            </w:pPr>
            <w:r/>
            <w:r>
              <w:rPr>
                <w:rFonts w:ascii="Times New Roman" w:hAnsi="Times New Roman"/>
                <w:sz w:val="14"/>
              </w:rPr>
              <w:t>2006</w:t>
            </w:r>
          </w:p>
        </w:tc>
        <w:tc>
          <w:tcPr>
            <w:tcW w:type="dxa" w:w="1040"/>
          </w:tcPr>
          <w:p>
            <w:pPr>
              <w:jc w:val="center"/>
            </w:pPr>
            <w:r/>
            <w:r>
              <w:rPr>
                <w:rFonts w:ascii="Times New Roman" w:hAnsi="Times New Roman"/>
                <w:sz w:val="14"/>
              </w:rPr>
              <w:t>-69.6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5.4 (0.002)</w:t>
            </w:r>
          </w:p>
        </w:tc>
      </w:tr>
      <w:tr>
        <w:tc>
          <w:tcPr>
            <w:tcW w:type="dxa" w:w="1040"/>
          </w:tcPr>
          <w:p>
            <w:r/>
            <w:r>
              <w:rPr>
                <w:rFonts w:ascii="Times New Roman" w:hAnsi="Times New Roman"/>
                <w:sz w:val="14"/>
              </w:rPr>
              <w:t>Paediatrics</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0.989</w:t>
            </w:r>
          </w:p>
        </w:tc>
        <w:tc>
          <w:tcPr>
            <w:tcW w:type="dxa" w:w="1040"/>
          </w:tcPr>
          <w:p>
            <w:pPr>
              <w:jc w:val="center"/>
            </w:pPr>
            <w:r/>
            <w:r>
              <w:rPr>
                <w:rFonts w:ascii="Times New Roman" w:hAnsi="Times New Roman"/>
                <w:sz w:val="14"/>
              </w:rPr>
              <w:t>2016</w:t>
            </w:r>
          </w:p>
        </w:tc>
        <w:tc>
          <w:tcPr>
            <w:tcW w:type="dxa" w:w="1040"/>
          </w:tcPr>
          <w:p>
            <w:pPr>
              <w:jc w:val="center"/>
            </w:pPr>
            <w:r/>
            <w:r>
              <w:rPr>
                <w:rFonts w:ascii="Times New Roman" w:hAnsi="Times New Roman"/>
                <w:sz w:val="14"/>
              </w:rPr>
              <w:t>213.4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-6.0 (0.325)</w:t>
            </w:r>
          </w:p>
        </w:tc>
      </w:tr>
      <w:tr>
        <w:tc>
          <w:tcPr>
            <w:tcW w:type="dxa" w:w="1040"/>
          </w:tcPr>
          <w:p>
            <w:r/>
            <w:r>
              <w:rPr>
                <w:rFonts w:ascii="Times New Roman" w:hAnsi="Times New Roman"/>
                <w:sz w:val="14"/>
              </w:rPr>
              <w:t>Paediatrics</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0.993</w:t>
            </w:r>
          </w:p>
        </w:tc>
        <w:tc>
          <w:tcPr>
            <w:tcW w:type="dxa" w:w="1040"/>
          </w:tcPr>
          <w:p>
            <w:pPr>
              <w:jc w:val="center"/>
            </w:pPr>
            <w:r/>
            <w:r>
              <w:rPr>
                <w:rFonts w:ascii="Times New Roman" w:hAnsi="Times New Roman"/>
                <w:sz w:val="14"/>
              </w:rPr>
              <w:t>2016</w:t>
            </w:r>
          </w:p>
        </w:tc>
        <w:tc>
          <w:tcPr>
            <w:tcW w:type="dxa" w:w="1040"/>
          </w:tcPr>
          <w:p>
            <w:pPr>
              <w:jc w:val="center"/>
            </w:pPr>
            <w:r/>
            <w:r>
              <w:rPr>
                <w:rFonts w:ascii="Times New Roman" w:hAnsi="Times New Roman"/>
                <w:sz w:val="14"/>
              </w:rPr>
              <w:t>-181.5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0.1 (0.987)</w:t>
            </w:r>
          </w:p>
        </w:tc>
      </w:tr>
      <w:tr>
        <w:tc>
          <w:tcPr>
            <w:tcW w:type="dxa" w:w="1040"/>
          </w:tcPr>
          <w:p>
            <w:r/>
            <w:r>
              <w:rPr>
                <w:rFonts w:ascii="Times New Roman" w:hAnsi="Times New Roman"/>
                <w:sz w:val="14"/>
              </w:rPr>
              <w:t>Paediatrics</w:t>
            </w:r>
          </w:p>
        </w:tc>
        <w:tc>
          <w:tcPr>
            <w:tcW w:type="dxa" w:w="1040"/>
          </w:tcPr>
          <w:p>
            <w:pPr>
              <w:jc w:val="center"/>
            </w:pPr>
            <w:r/>
            <w:r>
              <w:rPr>
                <w:rFonts w:ascii="Times New Roman" w:hAnsi="Times New Roman"/>
                <w:sz w:val="14"/>
              </w:rPr>
              <w:t>Litigation</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0.964</w:t>
            </w:r>
          </w:p>
        </w:tc>
        <w:tc>
          <w:tcPr>
            <w:tcW w:type="dxa" w:w="1040"/>
          </w:tcPr>
          <w:p>
            <w:pPr>
              <w:jc w:val="center"/>
            </w:pPr>
            <w:r/>
            <w:r>
              <w:rPr>
                <w:rFonts w:ascii="Times New Roman" w:hAnsi="Times New Roman"/>
                <w:sz w:val="14"/>
              </w:rPr>
              <w:t>2005</w:t>
            </w:r>
          </w:p>
        </w:tc>
        <w:tc>
          <w:tcPr>
            <w:tcW w:type="dxa" w:w="1040"/>
          </w:tcPr>
          <w:p>
            <w:pPr>
              <w:jc w:val="center"/>
            </w:pPr>
            <w:r/>
            <w:r>
              <w:rPr>
                <w:rFonts w:ascii="Times New Roman" w:hAnsi="Times New Roman"/>
                <w:sz w:val="14"/>
              </w:rPr>
              <w:t>255.4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20.2 (0.513)</w:t>
            </w:r>
          </w:p>
        </w:tc>
      </w:tr>
      <w:tr>
        <w:tc>
          <w:tcPr>
            <w:tcW w:type="dxa" w:w="1040"/>
          </w:tcPr>
          <w:p>
            <w:r/>
            <w:r>
              <w:rPr>
                <w:rFonts w:ascii="Times New Roman" w:hAnsi="Times New Roman"/>
                <w:sz w:val="14"/>
              </w:rPr>
              <w:t>Paediatrics</w:t>
            </w:r>
          </w:p>
        </w:tc>
        <w:tc>
          <w:tcPr>
            <w:tcW w:type="dxa" w:w="1040"/>
          </w:tcPr>
          <w:p>
            <w:pPr>
              <w:jc w:val="center"/>
            </w:pPr>
            <w:r/>
            <w:r>
              <w:rPr>
                <w:rFonts w:ascii="Times New Roman" w:hAnsi="Times New Roman"/>
                <w:sz w:val="14"/>
              </w:rPr>
              <w:t>Litigation</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0.991</w:t>
            </w:r>
          </w:p>
        </w:tc>
        <w:tc>
          <w:tcPr>
            <w:tcW w:type="dxa" w:w="1040"/>
          </w:tcPr>
          <w:p>
            <w:pPr>
              <w:jc w:val="center"/>
            </w:pPr>
            <w:r/>
            <w:r>
              <w:rPr>
                <w:rFonts w:ascii="Times New Roman" w:hAnsi="Times New Roman"/>
                <w:sz w:val="14"/>
              </w:rPr>
              <w:t>2005</w:t>
            </w:r>
          </w:p>
        </w:tc>
        <w:tc>
          <w:tcPr>
            <w:tcW w:type="dxa" w:w="1040"/>
          </w:tcPr>
          <w:p>
            <w:pPr>
              <w:jc w:val="center"/>
            </w:pPr>
            <w:r/>
            <w:r>
              <w:rPr>
                <w:rFonts w:ascii="Times New Roman" w:hAnsi="Times New Roman"/>
                <w:sz w:val="14"/>
              </w:rPr>
              <w:t>-202.3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30.9 (0.074)</w:t>
            </w:r>
          </w:p>
        </w:tc>
      </w:tr>
      <w:tr>
        <w:tc>
          <w:tcPr>
            <w:tcW w:type="dxa" w:w="1040"/>
          </w:tcPr>
          <w:p>
            <w:r/>
            <w:r>
              <w:rPr>
                <w:rFonts w:ascii="Times New Roman" w:hAnsi="Times New Roman"/>
                <w:sz w:val="14"/>
              </w:rPr>
              <w:t>Psychiatry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0.997</w:t>
            </w:r>
          </w:p>
        </w:tc>
        <w:tc>
          <w:tcPr>
            <w:tcW w:type="dxa" w:w="1040"/>
          </w:tcPr>
          <w:p>
            <w:pPr>
              <w:jc w:val="center"/>
            </w:pPr>
            <w:r/>
            <w:r>
              <w:rPr>
                <w:rFonts w:ascii="Times New Roman" w:hAnsi="Times New Roman"/>
                <w:sz w:val="14"/>
              </w:rPr>
              <w:t>2016</w:t>
            </w:r>
          </w:p>
        </w:tc>
        <w:tc>
          <w:tcPr>
            <w:tcW w:type="dxa" w:w="1040"/>
          </w:tcPr>
          <w:p>
            <w:pPr>
              <w:jc w:val="center"/>
            </w:pPr>
            <w:r/>
            <w:r>
              <w:rPr>
                <w:rFonts w:ascii="Times New Roman" w:hAnsi="Times New Roman"/>
                <w:sz w:val="14"/>
              </w:rPr>
              <w:t>276.8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-1.3 (0.884)</w:t>
            </w:r>
          </w:p>
        </w:tc>
      </w:tr>
      <w:tr>
        <w:tc>
          <w:tcPr>
            <w:tcW w:type="dxa" w:w="1040"/>
          </w:tcPr>
          <w:p>
            <w:r/>
            <w:r>
              <w:rPr>
                <w:rFonts w:ascii="Times New Roman" w:hAnsi="Times New Roman"/>
                <w:sz w:val="14"/>
              </w:rPr>
              <w:t>Psychiatry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2016</w:t>
            </w:r>
          </w:p>
        </w:tc>
        <w:tc>
          <w:tcPr>
            <w:tcW w:type="dxa" w:w="1040"/>
          </w:tcPr>
          <w:p>
            <w:pPr>
              <w:jc w:val="center"/>
            </w:pPr>
            <w:r/>
            <w:r>
              <w:rPr>
                <w:rFonts w:ascii="Times New Roman" w:hAnsi="Times New Roman"/>
                <w:sz w:val="14"/>
              </w:rPr>
              <w:t>35.0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0.0 (0.068)</w:t>
            </w:r>
          </w:p>
        </w:tc>
      </w:tr>
      <w:tr>
        <w:tc>
          <w:tcPr>
            <w:tcW w:type="dxa" w:w="1040"/>
          </w:tcPr>
          <w:p>
            <w:r/>
            <w:r>
              <w:rPr>
                <w:rFonts w:ascii="Times New Roman" w:hAnsi="Times New Roman"/>
                <w:sz w:val="14"/>
              </w:rPr>
              <w:t>Psychiatry</w:t>
            </w:r>
          </w:p>
        </w:tc>
        <w:tc>
          <w:tcPr>
            <w:tcW w:type="dxa" w:w="1040"/>
          </w:tcPr>
          <w:p>
            <w:pPr>
              <w:jc w:val="center"/>
            </w:pPr>
            <w:r/>
            <w:r>
              <w:rPr>
                <w:rFonts w:ascii="Times New Roman" w:hAnsi="Times New Roman"/>
                <w:sz w:val="14"/>
              </w:rPr>
              <w:t>Litigation</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0.987</w:t>
            </w:r>
          </w:p>
        </w:tc>
        <w:tc>
          <w:tcPr>
            <w:tcW w:type="dxa" w:w="1040"/>
          </w:tcPr>
          <w:p>
            <w:pPr>
              <w:jc w:val="center"/>
            </w:pPr>
            <w:r/>
            <w:r>
              <w:rPr>
                <w:rFonts w:ascii="Times New Roman" w:hAnsi="Times New Roman"/>
                <w:sz w:val="14"/>
              </w:rPr>
              <w:t>2004</w:t>
            </w:r>
          </w:p>
        </w:tc>
        <w:tc>
          <w:tcPr>
            <w:tcW w:type="dxa" w:w="1040"/>
          </w:tcPr>
          <w:p>
            <w:pPr>
              <w:jc w:val="center"/>
            </w:pPr>
            <w:r/>
            <w:r>
              <w:rPr>
                <w:rFonts w:ascii="Times New Roman" w:hAnsi="Times New Roman"/>
                <w:sz w:val="14"/>
              </w:rPr>
              <w:t>286.5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1.2 (0.909)</w:t>
            </w:r>
          </w:p>
        </w:tc>
      </w:tr>
      <w:tr>
        <w:tc>
          <w:tcPr>
            <w:tcW w:type="dxa" w:w="1040"/>
          </w:tcPr>
          <w:p>
            <w:r/>
            <w:r>
              <w:rPr>
                <w:rFonts w:ascii="Times New Roman" w:hAnsi="Times New Roman"/>
                <w:sz w:val="14"/>
              </w:rPr>
              <w:t>Psychiatry</w:t>
            </w:r>
          </w:p>
        </w:tc>
        <w:tc>
          <w:tcPr>
            <w:tcW w:type="dxa" w:w="1040"/>
          </w:tcPr>
          <w:p>
            <w:pPr>
              <w:jc w:val="center"/>
            </w:pPr>
            <w:r/>
            <w:r>
              <w:rPr>
                <w:rFonts w:ascii="Times New Roman" w:hAnsi="Times New Roman"/>
                <w:sz w:val="14"/>
              </w:rPr>
              <w:t>Litigation</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0.999</w:t>
            </w:r>
          </w:p>
        </w:tc>
        <w:tc>
          <w:tcPr>
            <w:tcW w:type="dxa" w:w="1040"/>
          </w:tcPr>
          <w:p>
            <w:pPr>
              <w:jc w:val="center"/>
            </w:pPr>
            <w:r/>
            <w:r>
              <w:rPr>
                <w:rFonts w:ascii="Times New Roman" w:hAnsi="Times New Roman"/>
                <w:sz w:val="14"/>
              </w:rPr>
              <w:t>2005</w:t>
            </w:r>
          </w:p>
        </w:tc>
        <w:tc>
          <w:tcPr>
            <w:tcW w:type="dxa" w:w="1040"/>
          </w:tcPr>
          <w:p>
            <w:pPr>
              <w:jc w:val="center"/>
            </w:pPr>
            <w:r/>
            <w:r>
              <w:rPr>
                <w:rFonts w:ascii="Times New Roman" w:hAnsi="Times New Roman"/>
                <w:sz w:val="14"/>
              </w:rPr>
              <w:t>33.7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1.4 (0.004)</w:t>
            </w:r>
          </w:p>
        </w:tc>
      </w:tr>
      <w:tr>
        <w:tc>
          <w:tcPr>
            <w:tcW w:type="dxa" w:w="1040"/>
          </w:tcPr>
          <w:p>
            <w:r/>
            <w:r>
              <w:rPr>
                <w:rFonts w:ascii="Times New Roman" w:hAnsi="Times New Roman"/>
                <w:sz w:val="14"/>
              </w:rPr>
              <w:t>Ophthalmology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0.999</w:t>
            </w:r>
          </w:p>
        </w:tc>
        <w:tc>
          <w:tcPr>
            <w:tcW w:type="dxa" w:w="1040"/>
          </w:tcPr>
          <w:p>
            <w:pPr>
              <w:jc w:val="center"/>
            </w:pPr>
            <w:r/>
            <w:r>
              <w:rPr>
                <w:rFonts w:ascii="Times New Roman" w:hAnsi="Times New Roman"/>
                <w:sz w:val="14"/>
              </w:rPr>
              <w:t>2018</w:t>
            </w:r>
          </w:p>
        </w:tc>
        <w:tc>
          <w:tcPr>
            <w:tcW w:type="dxa" w:w="1040"/>
          </w:tcPr>
          <w:p>
            <w:pPr>
              <w:jc w:val="center"/>
            </w:pPr>
            <w:r/>
            <w:r>
              <w:rPr>
                <w:rFonts w:ascii="Times New Roman" w:hAnsi="Times New Roman"/>
                <w:sz w:val="14"/>
              </w:rPr>
              <w:t>53.0 (0.000)</w:t>
            </w:r>
          </w:p>
        </w:tc>
        <w:tc>
          <w:tcPr>
            <w:tcW w:type="dxa" w:w="1040"/>
          </w:tcPr>
          <w:p>
            <w:pPr>
              <w:jc w:val="center"/>
            </w:pPr>
            <w:r/>
            <w:r>
              <w:rPr>
                <w:rFonts w:ascii="Times New Roman" w:hAnsi="Times New Roman"/>
                <w:sz w:val="14"/>
              </w:rPr>
              <w:t>4.4 (0.681)</w:t>
            </w:r>
          </w:p>
        </w:tc>
        <w:tc>
          <w:tcPr>
            <w:tcW w:type="dxa" w:w="1040"/>
          </w:tcPr>
          <w:p>
            <w:pPr>
              <w:jc w:val="center"/>
            </w:pPr>
            <w:r/>
            <w:r>
              <w:rPr>
                <w:rFonts w:ascii="Times New Roman" w:hAnsi="Times New Roman"/>
                <w:sz w:val="14"/>
              </w:rPr>
              <w:t>7.7 (0.113)</w:t>
            </w:r>
          </w:p>
        </w:tc>
        <w:tc>
          <w:tcPr>
            <w:tcW w:type="dxa" w:w="1040"/>
          </w:tcPr>
          <w:p>
            <w:pPr>
              <w:jc w:val="center"/>
            </w:pPr>
            <w:r/>
            <w:r>
              <w:rPr>
                <w:rFonts w:ascii="Times New Roman" w:hAnsi="Times New Roman"/>
                <w:sz w:val="14"/>
              </w:rPr>
              <w:t>2.7 (0.329)</w:t>
            </w:r>
          </w:p>
        </w:tc>
      </w:tr>
      <w:tr>
        <w:tc>
          <w:tcPr>
            <w:tcW w:type="dxa" w:w="1040"/>
          </w:tcPr>
          <w:p>
            <w:r/>
            <w:r>
              <w:rPr>
                <w:rFonts w:ascii="Times New Roman" w:hAnsi="Times New Roman"/>
                <w:sz w:val="14"/>
              </w:rPr>
              <w:t>Ophthalmology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2018</w:t>
            </w:r>
          </w:p>
        </w:tc>
        <w:tc>
          <w:tcPr>
            <w:tcW w:type="dxa" w:w="1040"/>
          </w:tcPr>
          <w:p>
            <w:pPr>
              <w:jc w:val="center"/>
            </w:pPr>
            <w:r/>
            <w:r>
              <w:rPr>
                <w:rFonts w:ascii="Times New Roman" w:hAnsi="Times New Roman"/>
                <w:sz w:val="14"/>
              </w:rPr>
              <w:t>-87.5 (0.000)</w:t>
            </w:r>
          </w:p>
        </w:tc>
        <w:tc>
          <w:tcPr>
            <w:tcW w:type="dxa" w:w="1040"/>
          </w:tcPr>
          <w:p>
            <w:pPr>
              <w:jc w:val="center"/>
            </w:pPr>
            <w:r/>
            <w:r>
              <w:rPr>
                <w:rFonts w:ascii="Times New Roman" w:hAnsi="Times New Roman"/>
                <w:sz w:val="14"/>
              </w:rPr>
              <w:t>-9.3 (0.173)</w:t>
            </w:r>
          </w:p>
        </w:tc>
        <w:tc>
          <w:tcPr>
            <w:tcW w:type="dxa" w:w="1040"/>
          </w:tcPr>
          <w:p>
            <w:pPr>
              <w:jc w:val="center"/>
            </w:pPr>
            <w:r/>
            <w:r>
              <w:rPr>
                <w:rFonts w:ascii="Times New Roman" w:hAnsi="Times New Roman"/>
                <w:sz w:val="14"/>
              </w:rPr>
              <w:t>13.8 (0.002)</w:t>
            </w:r>
          </w:p>
        </w:tc>
        <w:tc>
          <w:tcPr>
            <w:tcW w:type="dxa" w:w="1040"/>
          </w:tcPr>
          <w:p>
            <w:pPr>
              <w:jc w:val="center"/>
            </w:pPr>
            <w:r/>
            <w:r>
              <w:rPr>
                <w:rFonts w:ascii="Times New Roman" w:hAnsi="Times New Roman"/>
                <w:sz w:val="14"/>
              </w:rPr>
              <w:t>4.1 (0.039)</w:t>
            </w:r>
          </w:p>
        </w:tc>
      </w:tr>
      <w:tr>
        <w:tc>
          <w:tcPr>
            <w:tcW w:type="dxa" w:w="1040"/>
          </w:tcPr>
          <w:p>
            <w:r/>
            <w:r>
              <w:rPr>
                <w:rFonts w:ascii="Times New Roman" w:hAnsi="Times New Roman"/>
                <w:sz w:val="14"/>
              </w:rPr>
              <w:t>Ophthalmology</w:t>
            </w:r>
          </w:p>
        </w:tc>
        <w:tc>
          <w:tcPr>
            <w:tcW w:type="dxa" w:w="1040"/>
          </w:tcPr>
          <w:p>
            <w:pPr>
              <w:jc w:val="center"/>
            </w:pPr>
            <w:r/>
            <w:r>
              <w:rPr>
                <w:rFonts w:ascii="Times New Roman" w:hAnsi="Times New Roman"/>
                <w:sz w:val="14"/>
              </w:rPr>
              <w:t>Litigation</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0.962</w:t>
            </w:r>
          </w:p>
        </w:tc>
        <w:tc>
          <w:tcPr>
            <w:tcW w:type="dxa" w:w="1040"/>
          </w:tcPr>
          <w:p>
            <w:pPr>
              <w:jc w:val="center"/>
            </w:pPr>
            <w:r/>
            <w:r>
              <w:rPr>
                <w:rFonts w:ascii="Times New Roman" w:hAnsi="Times New Roman"/>
                <w:sz w:val="14"/>
              </w:rPr>
              <w:t>2004</w:t>
            </w:r>
          </w:p>
        </w:tc>
        <w:tc>
          <w:tcPr>
            <w:tcW w:type="dxa" w:w="1040"/>
          </w:tcPr>
          <w:p>
            <w:pPr>
              <w:jc w:val="center"/>
            </w:pPr>
            <w:r/>
            <w:r>
              <w:rPr>
                <w:rFonts w:ascii="Times New Roman" w:hAnsi="Times New Roman"/>
                <w:sz w:val="14"/>
              </w:rPr>
              <w:t>58.3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14.3 (0.038)</w:t>
            </w:r>
          </w:p>
        </w:tc>
      </w:tr>
      <w:tr>
        <w:tc>
          <w:tcPr>
            <w:tcW w:type="dxa" w:w="1040"/>
          </w:tcPr>
          <w:p>
            <w:r/>
            <w:r>
              <w:rPr>
                <w:rFonts w:ascii="Times New Roman" w:hAnsi="Times New Roman"/>
                <w:sz w:val="14"/>
              </w:rPr>
              <w:t>Ophthalmology</w:t>
            </w:r>
          </w:p>
        </w:tc>
        <w:tc>
          <w:tcPr>
            <w:tcW w:type="dxa" w:w="1040"/>
          </w:tcPr>
          <w:p>
            <w:pPr>
              <w:jc w:val="center"/>
            </w:pPr>
            <w:r/>
            <w:r>
              <w:rPr>
                <w:rFonts w:ascii="Times New Roman" w:hAnsi="Times New Roman"/>
                <w:sz w:val="14"/>
              </w:rPr>
              <w:t>Litigation</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0.998</w:t>
            </w:r>
          </w:p>
        </w:tc>
        <w:tc>
          <w:tcPr>
            <w:tcW w:type="dxa" w:w="1040"/>
          </w:tcPr>
          <w:p>
            <w:pPr>
              <w:jc w:val="center"/>
            </w:pPr>
            <w:r/>
            <w:r>
              <w:rPr>
                <w:rFonts w:ascii="Times New Roman" w:hAnsi="Times New Roman"/>
                <w:sz w:val="14"/>
              </w:rPr>
              <w:t>2005</w:t>
            </w:r>
          </w:p>
        </w:tc>
        <w:tc>
          <w:tcPr>
            <w:tcW w:type="dxa" w:w="1040"/>
          </w:tcPr>
          <w:p>
            <w:pPr>
              <w:jc w:val="center"/>
            </w:pPr>
            <w:r/>
            <w:r>
              <w:rPr>
                <w:rFonts w:ascii="Times New Roman" w:hAnsi="Times New Roman"/>
                <w:sz w:val="14"/>
              </w:rPr>
              <w:t>-86.1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3.2 (0.256)</w:t>
            </w:r>
          </w:p>
        </w:tc>
      </w:tr>
      <w:tr>
        <w:tc>
          <w:tcPr>
            <w:tcW w:type="dxa" w:w="1040"/>
          </w:tcPr>
          <w:p>
            <w:r/>
            <w:r>
              <w:rPr>
                <w:rFonts w:ascii="Times New Roman" w:hAnsi="Times New Roman"/>
                <w:sz w:val="14"/>
              </w:rPr>
              <w:t>Otolaryngology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0.893</w:t>
            </w:r>
          </w:p>
        </w:tc>
        <w:tc>
          <w:tcPr>
            <w:tcW w:type="dxa" w:w="1040"/>
          </w:tcPr>
          <w:p>
            <w:pPr>
              <w:jc w:val="center"/>
            </w:pPr>
            <w:r/>
            <w:r>
              <w:rPr>
                <w:rFonts w:ascii="Times New Roman" w:hAnsi="Times New Roman"/>
                <w:sz w:val="14"/>
              </w:rPr>
              <w:t>2016</w:t>
            </w:r>
          </w:p>
        </w:tc>
        <w:tc>
          <w:tcPr>
            <w:tcW w:type="dxa" w:w="1040"/>
          </w:tcPr>
          <w:p>
            <w:pPr>
              <w:jc w:val="center"/>
            </w:pPr>
            <w:r/>
            <w:r>
              <w:rPr>
                <w:rFonts w:ascii="Times New Roman" w:hAnsi="Times New Roman"/>
                <w:sz w:val="14"/>
              </w:rPr>
              <w:t>-18.9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1.2 (0.690)</w:t>
            </w:r>
          </w:p>
        </w:tc>
      </w:tr>
      <w:tr>
        <w:tc>
          <w:tcPr>
            <w:tcW w:type="dxa" w:w="1040"/>
          </w:tcPr>
          <w:p>
            <w:r/>
            <w:r>
              <w:rPr>
                <w:rFonts w:ascii="Times New Roman" w:hAnsi="Times New Roman"/>
                <w:sz w:val="14"/>
              </w:rPr>
              <w:t>Otolaryngology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0.998</w:t>
            </w:r>
          </w:p>
        </w:tc>
        <w:tc>
          <w:tcPr>
            <w:tcW w:type="dxa" w:w="1040"/>
          </w:tcPr>
          <w:p>
            <w:pPr>
              <w:jc w:val="center"/>
            </w:pPr>
            <w:r/>
            <w:r>
              <w:rPr>
                <w:rFonts w:ascii="Times New Roman" w:hAnsi="Times New Roman"/>
                <w:sz w:val="14"/>
              </w:rPr>
              <w:t>2016</w:t>
            </w:r>
          </w:p>
        </w:tc>
        <w:tc>
          <w:tcPr>
            <w:tcW w:type="dxa" w:w="1040"/>
          </w:tcPr>
          <w:p>
            <w:pPr>
              <w:jc w:val="center"/>
            </w:pPr>
            <w:r/>
            <w:r>
              <w:rPr>
                <w:rFonts w:ascii="Times New Roman" w:hAnsi="Times New Roman"/>
                <w:sz w:val="14"/>
              </w:rPr>
              <w:t>-95.2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-0.2 (0.921)</w:t>
            </w:r>
          </w:p>
        </w:tc>
      </w:tr>
      <w:tr>
        <w:tc>
          <w:tcPr>
            <w:tcW w:type="dxa" w:w="1040"/>
          </w:tcPr>
          <w:p>
            <w:r/>
            <w:r>
              <w:rPr>
                <w:rFonts w:ascii="Times New Roman" w:hAnsi="Times New Roman"/>
                <w:sz w:val="14"/>
              </w:rPr>
              <w:t>Otolaryngology</w:t>
            </w:r>
          </w:p>
        </w:tc>
        <w:tc>
          <w:tcPr>
            <w:tcW w:type="dxa" w:w="1040"/>
          </w:tcPr>
          <w:p>
            <w:pPr>
              <w:jc w:val="center"/>
            </w:pPr>
            <w:r/>
            <w:r>
              <w:rPr>
                <w:rFonts w:ascii="Times New Roman" w:hAnsi="Times New Roman"/>
                <w:sz w:val="14"/>
              </w:rPr>
              <w:t>Litigation</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0.757</w:t>
            </w:r>
          </w:p>
        </w:tc>
        <w:tc>
          <w:tcPr>
            <w:tcW w:type="dxa" w:w="1040"/>
          </w:tcPr>
          <w:p>
            <w:pPr>
              <w:jc w:val="center"/>
            </w:pPr>
            <w:r/>
            <w:r>
              <w:rPr>
                <w:rFonts w:ascii="Times New Roman" w:hAnsi="Times New Roman"/>
                <w:sz w:val="14"/>
              </w:rPr>
              <w:t>2004</w:t>
            </w:r>
          </w:p>
        </w:tc>
        <w:tc>
          <w:tcPr>
            <w:tcW w:type="dxa" w:w="1040"/>
          </w:tcPr>
          <w:p>
            <w:pPr>
              <w:jc w:val="center"/>
            </w:pPr>
            <w:r/>
            <w:r>
              <w:rPr>
                <w:rFonts w:ascii="Times New Roman" w:hAnsi="Times New Roman"/>
                <w:sz w:val="14"/>
              </w:rPr>
              <w:t>4.4 (0.520)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31.2 (0.005)</w:t>
            </w:r>
          </w:p>
        </w:tc>
      </w:tr>
      <w:tr>
        <w:tc>
          <w:tcPr>
            <w:tcW w:type="dxa" w:w="1040"/>
          </w:tcPr>
          <w:p>
            <w:r/>
            <w:r>
              <w:rPr>
                <w:rFonts w:ascii="Times New Roman" w:hAnsi="Times New Roman"/>
                <w:sz w:val="14"/>
              </w:rPr>
              <w:t>Otolaryngology</w:t>
            </w:r>
          </w:p>
        </w:tc>
        <w:tc>
          <w:tcPr>
            <w:tcW w:type="dxa" w:w="1040"/>
          </w:tcPr>
          <w:p>
            <w:pPr>
              <w:jc w:val="center"/>
            </w:pPr>
            <w:r/>
            <w:r>
              <w:rPr>
                <w:rFonts w:ascii="Times New Roman" w:hAnsi="Times New Roman"/>
                <w:sz w:val="14"/>
              </w:rPr>
              <w:t>Litigation</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0.998</w:t>
            </w:r>
          </w:p>
        </w:tc>
        <w:tc>
          <w:tcPr>
            <w:tcW w:type="dxa" w:w="1040"/>
          </w:tcPr>
          <w:p>
            <w:pPr>
              <w:jc w:val="center"/>
            </w:pPr>
            <w:r/>
            <w:r>
              <w:rPr>
                <w:rFonts w:ascii="Times New Roman" w:hAnsi="Times New Roman"/>
                <w:sz w:val="14"/>
              </w:rPr>
              <w:t>2005</w:t>
            </w:r>
          </w:p>
        </w:tc>
        <w:tc>
          <w:tcPr>
            <w:tcW w:type="dxa" w:w="1040"/>
          </w:tcPr>
          <w:p>
            <w:pPr>
              <w:jc w:val="center"/>
            </w:pPr>
            <w:r/>
            <w:r>
              <w:rPr>
                <w:rFonts w:ascii="Times New Roman" w:hAnsi="Times New Roman"/>
                <w:sz w:val="14"/>
              </w:rPr>
              <w:t>-105.0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4.9 (0.387)</w:t>
            </w:r>
          </w:p>
        </w:tc>
      </w:tr>
      <w:tr>
        <w:tc>
          <w:tcPr>
            <w:tcW w:type="dxa" w:w="1040"/>
          </w:tcPr>
          <w:p>
            <w:r/>
            <w:r>
              <w:rPr>
                <w:rFonts w:ascii="Times New Roman" w:hAnsi="Times New Roman"/>
                <w:sz w:val="14"/>
              </w:rPr>
              <w:t>Urology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0.999</w:t>
            </w:r>
          </w:p>
        </w:tc>
        <w:tc>
          <w:tcPr>
            <w:tcW w:type="dxa" w:w="1040"/>
          </w:tcPr>
          <w:p>
            <w:pPr>
              <w:jc w:val="center"/>
            </w:pPr>
            <w:r/>
            <w:r>
              <w:rPr>
                <w:rFonts w:ascii="Times New Roman" w:hAnsi="Times New Roman"/>
                <w:sz w:val="14"/>
              </w:rPr>
              <w:t>2018</w:t>
            </w:r>
          </w:p>
        </w:tc>
        <w:tc>
          <w:tcPr>
            <w:tcW w:type="dxa" w:w="1040"/>
          </w:tcPr>
          <w:p>
            <w:pPr>
              <w:jc w:val="center"/>
            </w:pPr>
            <w:r/>
            <w:r>
              <w:rPr>
                <w:rFonts w:ascii="Times New Roman" w:hAnsi="Times New Roman"/>
                <w:sz w:val="14"/>
              </w:rPr>
              <w:t>76.8 (0.000)</w:t>
            </w:r>
          </w:p>
        </w:tc>
        <w:tc>
          <w:tcPr>
            <w:tcW w:type="dxa" w:w="1040"/>
          </w:tcPr>
          <w:p>
            <w:pPr>
              <w:jc w:val="center"/>
            </w:pPr>
            <w:r/>
            <w:r>
              <w:rPr>
                <w:rFonts w:ascii="Times New Roman" w:hAnsi="Times New Roman"/>
                <w:sz w:val="14"/>
              </w:rPr>
              <w:t>10.3 (0.454)</w:t>
            </w:r>
          </w:p>
        </w:tc>
        <w:tc>
          <w:tcPr>
            <w:tcW w:type="dxa" w:w="1040"/>
          </w:tcPr>
          <w:p>
            <w:pPr>
              <w:jc w:val="center"/>
            </w:pPr>
            <w:r/>
            <w:r>
              <w:rPr>
                <w:rFonts w:ascii="Times New Roman" w:hAnsi="Times New Roman"/>
                <w:sz w:val="14"/>
              </w:rPr>
              <w:t>-16.9 (0.048)</w:t>
            </w:r>
          </w:p>
        </w:tc>
        <w:tc>
          <w:tcPr>
            <w:tcW w:type="dxa" w:w="1040"/>
          </w:tcPr>
          <w:p>
            <w:pPr>
              <w:jc w:val="center"/>
            </w:pPr>
            <w:r/>
            <w:r>
              <w:rPr>
                <w:rFonts w:ascii="Times New Roman" w:hAnsi="Times New Roman"/>
                <w:sz w:val="14"/>
              </w:rPr>
              <w:t>-0.2 (0.824)</w:t>
            </w:r>
          </w:p>
        </w:tc>
      </w:tr>
      <w:tr>
        <w:tc>
          <w:tcPr>
            <w:tcW w:type="dxa" w:w="1040"/>
          </w:tcPr>
          <w:p>
            <w:r/>
            <w:r>
              <w:rPr>
                <w:rFonts w:ascii="Times New Roman" w:hAnsi="Times New Roman"/>
                <w:sz w:val="14"/>
              </w:rPr>
              <w:t>Urology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0.991</w:t>
            </w:r>
          </w:p>
        </w:tc>
        <w:tc>
          <w:tcPr>
            <w:tcW w:type="dxa" w:w="1040"/>
          </w:tcPr>
          <w:p>
            <w:pPr>
              <w:jc w:val="center"/>
            </w:pPr>
            <w:r/>
            <w:r>
              <w:rPr>
                <w:rFonts w:ascii="Times New Roman" w:hAnsi="Times New Roman"/>
                <w:sz w:val="14"/>
              </w:rPr>
              <w:t>2018</w:t>
            </w:r>
          </w:p>
        </w:tc>
        <w:tc>
          <w:tcPr>
            <w:tcW w:type="dxa" w:w="1040"/>
          </w:tcPr>
          <w:p>
            <w:pPr>
              <w:jc w:val="center"/>
            </w:pPr>
            <w:r/>
            <w:r>
              <w:rPr>
                <w:rFonts w:ascii="Times New Roman" w:hAnsi="Times New Roman"/>
                <w:sz w:val="14"/>
              </w:rPr>
              <w:t>-7.4 (0.003)</w:t>
            </w:r>
          </w:p>
        </w:tc>
        <w:tc>
          <w:tcPr>
            <w:tcW w:type="dxa" w:w="1040"/>
          </w:tcPr>
          <w:p>
            <w:pPr>
              <w:jc w:val="center"/>
            </w:pPr>
            <w:r/>
            <w:r>
              <w:rPr>
                <w:rFonts w:ascii="Times New Roman" w:hAnsi="Times New Roman"/>
                <w:sz w:val="14"/>
              </w:rPr>
              <w:t>1.5 (0.615)</w:t>
            </w:r>
          </w:p>
        </w:tc>
        <w:tc>
          <w:tcPr>
            <w:tcW w:type="dxa" w:w="1040"/>
          </w:tcPr>
          <w:p>
            <w:pPr>
              <w:jc w:val="center"/>
            </w:pPr>
            <w:r/>
            <w:r>
              <w:rPr>
                <w:rFonts w:ascii="Times New Roman" w:hAnsi="Times New Roman"/>
                <w:sz w:val="14"/>
              </w:rPr>
              <w:t>4.2 (0.032)</w:t>
            </w:r>
          </w:p>
        </w:tc>
        <w:tc>
          <w:tcPr>
            <w:tcW w:type="dxa" w:w="1040"/>
          </w:tcPr>
          <w:p>
            <w:pPr>
              <w:jc w:val="center"/>
            </w:pPr>
            <w:r/>
            <w:r>
              <w:rPr>
                <w:rFonts w:ascii="Times New Roman" w:hAnsi="Times New Roman"/>
                <w:sz w:val="14"/>
              </w:rPr>
              <w:t>-0.0 (0.934)</w:t>
            </w:r>
          </w:p>
        </w:tc>
      </w:tr>
      <w:tr>
        <w:tc>
          <w:tcPr>
            <w:tcW w:type="dxa" w:w="1040"/>
          </w:tcPr>
          <w:p>
            <w:r/>
            <w:r>
              <w:rPr>
                <w:rFonts w:ascii="Times New Roman" w:hAnsi="Times New Roman"/>
                <w:sz w:val="14"/>
              </w:rPr>
              <w:t>Urology</w:t>
            </w:r>
          </w:p>
        </w:tc>
        <w:tc>
          <w:tcPr>
            <w:tcW w:type="dxa" w:w="1040"/>
          </w:tcPr>
          <w:p>
            <w:pPr>
              <w:jc w:val="center"/>
            </w:pPr>
            <w:r/>
            <w:r>
              <w:rPr>
                <w:rFonts w:ascii="Times New Roman" w:hAnsi="Times New Roman"/>
                <w:sz w:val="14"/>
              </w:rPr>
              <w:t>Litigation</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0.990</w:t>
            </w:r>
          </w:p>
        </w:tc>
        <w:tc>
          <w:tcPr>
            <w:tcW w:type="dxa" w:w="1040"/>
          </w:tcPr>
          <w:p>
            <w:pPr>
              <w:jc w:val="center"/>
            </w:pPr>
            <w:r/>
            <w:r>
              <w:rPr>
                <w:rFonts w:ascii="Times New Roman" w:hAnsi="Times New Roman"/>
                <w:sz w:val="14"/>
              </w:rPr>
              <w:t>2004</w:t>
            </w:r>
          </w:p>
        </w:tc>
        <w:tc>
          <w:tcPr>
            <w:tcW w:type="dxa" w:w="1040"/>
          </w:tcPr>
          <w:p>
            <w:pPr>
              <w:jc w:val="center"/>
            </w:pPr>
            <w:r/>
            <w:r>
              <w:rPr>
                <w:rFonts w:ascii="Times New Roman" w:hAnsi="Times New Roman"/>
                <w:sz w:val="14"/>
              </w:rPr>
              <w:t>65.9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2.4 (0.497)</w:t>
            </w:r>
          </w:p>
        </w:tc>
      </w:tr>
      <w:tr>
        <w:tc>
          <w:tcPr>
            <w:tcW w:type="dxa" w:w="1040"/>
          </w:tcPr>
          <w:p>
            <w:r/>
            <w:r>
              <w:rPr>
                <w:rFonts w:ascii="Times New Roman" w:hAnsi="Times New Roman"/>
                <w:sz w:val="14"/>
              </w:rPr>
              <w:t>Urology</w:t>
            </w:r>
          </w:p>
        </w:tc>
        <w:tc>
          <w:tcPr>
            <w:tcW w:type="dxa" w:w="1040"/>
          </w:tcPr>
          <w:p>
            <w:pPr>
              <w:jc w:val="center"/>
            </w:pPr>
            <w:r/>
            <w:r>
              <w:rPr>
                <w:rFonts w:ascii="Times New Roman" w:hAnsi="Times New Roman"/>
                <w:sz w:val="14"/>
              </w:rPr>
              <w:t>Litigation</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0.956</w:t>
            </w:r>
          </w:p>
        </w:tc>
        <w:tc>
          <w:tcPr>
            <w:tcW w:type="dxa" w:w="1040"/>
          </w:tcPr>
          <w:p>
            <w:pPr>
              <w:jc w:val="center"/>
            </w:pPr>
            <w:r/>
            <w:r>
              <w:rPr>
                <w:rFonts w:ascii="Times New Roman" w:hAnsi="Times New Roman"/>
                <w:sz w:val="14"/>
              </w:rPr>
              <w:t>2005</w:t>
            </w:r>
          </w:p>
        </w:tc>
        <w:tc>
          <w:tcPr>
            <w:tcW w:type="dxa" w:w="1040"/>
          </w:tcPr>
          <w:p>
            <w:pPr>
              <w:jc w:val="center"/>
            </w:pPr>
            <w:r/>
            <w:r>
              <w:rPr>
                <w:rFonts w:ascii="Times New Roman" w:hAnsi="Times New Roman"/>
                <w:sz w:val="14"/>
              </w:rPr>
              <w:t>-10.3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6.7 (0.001)</w:t>
            </w:r>
          </w:p>
        </w:tc>
      </w:tr>
      <w:tr>
        <w:tc>
          <w:tcPr>
            <w:tcW w:type="dxa" w:w="1040"/>
          </w:tcPr>
          <w:p>
            <w:r/>
            <w:r>
              <w:rPr>
                <w:rFonts w:ascii="Times New Roman" w:hAnsi="Times New Roman"/>
                <w:sz w:val="14"/>
              </w:rPr>
              <w:t>Dermatology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2018</w:t>
            </w:r>
          </w:p>
        </w:tc>
        <w:tc>
          <w:tcPr>
            <w:tcW w:type="dxa" w:w="1040"/>
          </w:tcPr>
          <w:p>
            <w:pPr>
              <w:jc w:val="center"/>
            </w:pPr>
            <w:r/>
            <w:r>
              <w:rPr>
                <w:rFonts w:ascii="Times New Roman" w:hAnsi="Times New Roman"/>
                <w:sz w:val="14"/>
              </w:rPr>
              <w:t>119.8 (0.000)</w:t>
            </w:r>
          </w:p>
        </w:tc>
        <w:tc>
          <w:tcPr>
            <w:tcW w:type="dxa" w:w="1040"/>
          </w:tcPr>
          <w:p>
            <w:pPr>
              <w:jc w:val="center"/>
            </w:pPr>
            <w:r/>
            <w:r>
              <w:rPr>
                <w:rFonts w:ascii="Times New Roman" w:hAnsi="Times New Roman"/>
                <w:sz w:val="14"/>
              </w:rPr>
              <w:t>-16.3 (0.106)</w:t>
            </w:r>
          </w:p>
        </w:tc>
        <w:tc>
          <w:tcPr>
            <w:tcW w:type="dxa" w:w="1040"/>
          </w:tcPr>
          <w:p>
            <w:pPr>
              <w:jc w:val="center"/>
            </w:pPr>
            <w:r/>
            <w:r>
              <w:rPr>
                <w:rFonts w:ascii="Times New Roman" w:hAnsi="Times New Roman"/>
                <w:sz w:val="14"/>
              </w:rPr>
              <w:t>2.0 (0.628)</w:t>
            </w:r>
          </w:p>
        </w:tc>
        <w:tc>
          <w:tcPr>
            <w:tcW w:type="dxa" w:w="1040"/>
          </w:tcPr>
          <w:p>
            <w:pPr>
              <w:jc w:val="center"/>
            </w:pPr>
            <w:r/>
            <w:r>
              <w:rPr>
                <w:rFonts w:ascii="Times New Roman" w:hAnsi="Times New Roman"/>
                <w:sz w:val="14"/>
              </w:rPr>
              <w:t>-0.0 (0.987)</w:t>
            </w:r>
          </w:p>
        </w:tc>
      </w:tr>
      <w:tr>
        <w:tc>
          <w:tcPr>
            <w:tcW w:type="dxa" w:w="1040"/>
          </w:tcPr>
          <w:p>
            <w:r/>
            <w:r>
              <w:rPr>
                <w:rFonts w:ascii="Times New Roman" w:hAnsi="Times New Roman"/>
                <w:sz w:val="14"/>
              </w:rPr>
              <w:t>Dermatology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2018</w:t>
            </w:r>
          </w:p>
        </w:tc>
        <w:tc>
          <w:tcPr>
            <w:tcW w:type="dxa" w:w="1040"/>
          </w:tcPr>
          <w:p>
            <w:pPr>
              <w:jc w:val="center"/>
            </w:pPr>
            <w:r/>
            <w:r>
              <w:rPr>
                <w:rFonts w:ascii="Times New Roman" w:hAnsi="Times New Roman"/>
                <w:sz w:val="14"/>
              </w:rPr>
              <w:t>50.0 (0.000)</w:t>
            </w:r>
          </w:p>
        </w:tc>
        <w:tc>
          <w:tcPr>
            <w:tcW w:type="dxa" w:w="1040"/>
          </w:tcPr>
          <w:p>
            <w:pPr>
              <w:jc w:val="center"/>
            </w:pPr>
            <w:r/>
            <w:r>
              <w:rPr>
                <w:rFonts w:ascii="Times New Roman" w:hAnsi="Times New Roman"/>
                <w:sz w:val="14"/>
              </w:rPr>
              <w:t>-0.0 (0.876)</w:t>
            </w:r>
          </w:p>
        </w:tc>
        <w:tc>
          <w:tcPr>
            <w:tcW w:type="dxa" w:w="1040"/>
          </w:tcPr>
          <w:p>
            <w:pPr>
              <w:jc w:val="center"/>
            </w:pPr>
            <w:r/>
            <w:r>
              <w:rPr>
                <w:rFonts w:ascii="Times New Roman" w:hAnsi="Times New Roman"/>
                <w:sz w:val="14"/>
              </w:rPr>
              <w:t>0.0 (1.000)</w:t>
            </w:r>
          </w:p>
        </w:tc>
        <w:tc>
          <w:tcPr>
            <w:tcW w:type="dxa" w:w="1040"/>
          </w:tcPr>
          <w:p>
            <w:pPr>
              <w:jc w:val="center"/>
            </w:pPr>
            <w:r/>
            <w:r>
              <w:rPr>
                <w:rFonts w:ascii="Times New Roman" w:hAnsi="Times New Roman"/>
                <w:sz w:val="14"/>
              </w:rPr>
              <w:t>0.0 (0.432)</w:t>
            </w:r>
          </w:p>
        </w:tc>
      </w:tr>
      <w:tr>
        <w:tc>
          <w:tcPr>
            <w:tcW w:type="dxa" w:w="1040"/>
          </w:tcPr>
          <w:p>
            <w:r/>
            <w:r>
              <w:rPr>
                <w:rFonts w:ascii="Times New Roman" w:hAnsi="Times New Roman"/>
                <w:sz w:val="14"/>
              </w:rPr>
              <w:t>Dermatology</w:t>
            </w:r>
          </w:p>
        </w:tc>
        <w:tc>
          <w:tcPr>
            <w:tcW w:type="dxa" w:w="1040"/>
          </w:tcPr>
          <w:p>
            <w:pPr>
              <w:jc w:val="center"/>
            </w:pPr>
            <w:r/>
            <w:r>
              <w:rPr>
                <w:rFonts w:ascii="Times New Roman" w:hAnsi="Times New Roman"/>
                <w:sz w:val="14"/>
              </w:rPr>
              <w:t>Litigation</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0.979</w:t>
            </w:r>
          </w:p>
        </w:tc>
        <w:tc>
          <w:tcPr>
            <w:tcW w:type="dxa" w:w="1040"/>
          </w:tcPr>
          <w:p>
            <w:pPr>
              <w:jc w:val="center"/>
            </w:pPr>
            <w:r/>
            <w:r>
              <w:rPr>
                <w:rFonts w:ascii="Times New Roman" w:hAnsi="Times New Roman"/>
                <w:sz w:val="14"/>
              </w:rPr>
              <w:t>2004</w:t>
            </w:r>
          </w:p>
        </w:tc>
        <w:tc>
          <w:tcPr>
            <w:tcW w:type="dxa" w:w="1040"/>
          </w:tcPr>
          <w:p>
            <w:pPr>
              <w:jc w:val="center"/>
            </w:pPr>
            <w:r/>
            <w:r>
              <w:rPr>
                <w:rFonts w:ascii="Times New Roman" w:hAnsi="Times New Roman"/>
                <w:sz w:val="14"/>
              </w:rPr>
              <w:t>120.4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31.1 (0.009)</w:t>
            </w:r>
          </w:p>
        </w:tc>
      </w:tr>
      <w:tr>
        <w:tc>
          <w:tcPr>
            <w:tcW w:type="dxa" w:w="1040"/>
          </w:tcPr>
          <w:p>
            <w:r/>
            <w:r>
              <w:rPr>
                <w:rFonts w:ascii="Times New Roman" w:hAnsi="Times New Roman"/>
                <w:sz w:val="14"/>
              </w:rPr>
              <w:t>Dermatology</w:t>
            </w:r>
          </w:p>
        </w:tc>
        <w:tc>
          <w:tcPr>
            <w:tcW w:type="dxa" w:w="1040"/>
          </w:tcPr>
          <w:p>
            <w:pPr>
              <w:jc w:val="center"/>
            </w:pPr>
            <w:r/>
            <w:r>
              <w:rPr>
                <w:rFonts w:ascii="Times New Roman" w:hAnsi="Times New Roman"/>
                <w:sz w:val="14"/>
              </w:rPr>
              <w:t>Litigation</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0.998</w:t>
            </w:r>
          </w:p>
        </w:tc>
        <w:tc>
          <w:tcPr>
            <w:tcW w:type="dxa" w:w="1040"/>
          </w:tcPr>
          <w:p>
            <w:pPr>
              <w:jc w:val="center"/>
            </w:pPr>
            <w:r/>
            <w:r>
              <w:rPr>
                <w:rFonts w:ascii="Times New Roman" w:hAnsi="Times New Roman"/>
                <w:sz w:val="14"/>
              </w:rPr>
              <w:t>2005</w:t>
            </w:r>
          </w:p>
        </w:tc>
        <w:tc>
          <w:tcPr>
            <w:tcW w:type="dxa" w:w="1040"/>
          </w:tcPr>
          <w:p>
            <w:pPr>
              <w:jc w:val="center"/>
            </w:pPr>
            <w:r/>
            <w:r>
              <w:rPr>
                <w:rFonts w:ascii="Times New Roman" w:hAnsi="Times New Roman"/>
                <w:sz w:val="14"/>
              </w:rPr>
              <w:t>48.9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4.4 (0.005)</w:t>
            </w:r>
          </w:p>
        </w:tc>
      </w:tr>
      <w:tr>
        <w:tc>
          <w:tcPr>
            <w:tcW w:type="dxa" w:w="1040"/>
          </w:tcPr>
          <w:p>
            <w:r/>
            <w:r>
              <w:rPr>
                <w:rFonts w:ascii="Times New Roman" w:hAnsi="Times New Roman"/>
                <w:sz w:val="14"/>
              </w:rPr>
              <w:t>Anaesthesiology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2020</w:t>
            </w:r>
          </w:p>
        </w:tc>
        <w:tc>
          <w:tcPr>
            <w:tcW w:type="dxa" w:w="1040"/>
          </w:tcPr>
          <w:p>
            <w:pPr>
              <w:jc w:val="center"/>
            </w:pPr>
            <w:r/>
            <w:r>
              <w:rPr>
                <w:rFonts w:ascii="Times New Roman" w:hAnsi="Times New Roman"/>
                <w:sz w:val="14"/>
              </w:rPr>
              <w:t>195.2 (0.000)</w:t>
            </w:r>
          </w:p>
        </w:tc>
        <w:tc>
          <w:tcPr>
            <w:tcW w:type="dxa" w:w="1040"/>
          </w:tcPr>
          <w:p>
            <w:pPr>
              <w:jc w:val="center"/>
            </w:pPr>
            <w:r/>
            <w:r>
              <w:rPr>
                <w:rFonts w:ascii="Times New Roman" w:hAnsi="Times New Roman"/>
                <w:sz w:val="14"/>
              </w:rPr>
              <w:t>-37.2 (0.070)</w:t>
            </w:r>
          </w:p>
        </w:tc>
        <w:tc>
          <w:tcPr>
            <w:tcW w:type="dxa" w:w="1040"/>
          </w:tcPr>
          <w:p>
            <w:pPr>
              <w:jc w:val="center"/>
            </w:pPr>
            <w:r/>
            <w:r>
              <w:rPr>
                <w:rFonts w:ascii="Times New Roman" w:hAnsi="Times New Roman"/>
                <w:sz w:val="14"/>
              </w:rPr>
              <w:t>-7.6 (0.226)</w:t>
            </w:r>
          </w:p>
        </w:tc>
        <w:tc>
          <w:tcPr>
            <w:tcW w:type="dxa" w:w="1040"/>
          </w:tcPr>
          <w:p>
            <w:pPr>
              <w:jc w:val="center"/>
            </w:pPr>
            <w:r/>
            <w:r>
              <w:rPr>
                <w:rFonts w:ascii="Times New Roman" w:hAnsi="Times New Roman"/>
                <w:sz w:val="14"/>
              </w:rPr>
              <w:t>6.0 (0.374)</w:t>
            </w:r>
          </w:p>
        </w:tc>
      </w:tr>
      <w:tr>
        <w:tc>
          <w:tcPr>
            <w:tcW w:type="dxa" w:w="1040"/>
          </w:tcPr>
          <w:p>
            <w:r/>
            <w:r>
              <w:rPr>
                <w:rFonts w:ascii="Times New Roman" w:hAnsi="Times New Roman"/>
                <w:sz w:val="14"/>
              </w:rPr>
              <w:t>Anaesthesiology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2020</w:t>
            </w:r>
          </w:p>
        </w:tc>
        <w:tc>
          <w:tcPr>
            <w:tcW w:type="dxa" w:w="1040"/>
          </w:tcPr>
          <w:p>
            <w:pPr>
              <w:jc w:val="center"/>
            </w:pPr>
            <w:r/>
            <w:r>
              <w:rPr>
                <w:rFonts w:ascii="Times New Roman" w:hAnsi="Times New Roman"/>
                <w:sz w:val="14"/>
              </w:rPr>
              <w:t>68.9 (0.000)</w:t>
            </w:r>
          </w:p>
        </w:tc>
        <w:tc>
          <w:tcPr>
            <w:tcW w:type="dxa" w:w="1040"/>
          </w:tcPr>
          <w:p>
            <w:pPr>
              <w:jc w:val="center"/>
            </w:pPr>
            <w:r/>
            <w:r>
              <w:rPr>
                <w:rFonts w:ascii="Times New Roman" w:hAnsi="Times New Roman"/>
                <w:sz w:val="14"/>
              </w:rPr>
              <w:t>-0.6 (0.837)</w:t>
            </w:r>
          </w:p>
        </w:tc>
        <w:tc>
          <w:tcPr>
            <w:tcW w:type="dxa" w:w="1040"/>
          </w:tcPr>
          <w:p>
            <w:pPr>
              <w:jc w:val="center"/>
            </w:pPr>
            <w:r/>
            <w:r>
              <w:rPr>
                <w:rFonts w:ascii="Times New Roman" w:hAnsi="Times New Roman"/>
                <w:sz w:val="14"/>
              </w:rPr>
              <w:t>8.7 (0.000)</w:t>
            </w:r>
          </w:p>
        </w:tc>
        <w:tc>
          <w:tcPr>
            <w:tcW w:type="dxa" w:w="1040"/>
          </w:tcPr>
          <w:p>
            <w:pPr>
              <w:jc w:val="center"/>
            </w:pPr>
            <w:r/>
            <w:r>
              <w:rPr>
                <w:rFonts w:ascii="Times New Roman" w:hAnsi="Times New Roman"/>
                <w:sz w:val="14"/>
              </w:rPr>
              <w:t>0.9 (0.452)</w:t>
            </w:r>
          </w:p>
        </w:tc>
      </w:tr>
      <w:tr>
        <w:tc>
          <w:tcPr>
            <w:tcW w:type="dxa" w:w="1040"/>
          </w:tcPr>
          <w:p>
            <w:r/>
            <w:r>
              <w:rPr>
                <w:rFonts w:ascii="Times New Roman" w:hAnsi="Times New Roman"/>
                <w:sz w:val="14"/>
              </w:rPr>
              <w:t>Anaesthesiology</w:t>
            </w:r>
          </w:p>
        </w:tc>
        <w:tc>
          <w:tcPr>
            <w:tcW w:type="dxa" w:w="1040"/>
          </w:tcPr>
          <w:p>
            <w:pPr>
              <w:jc w:val="center"/>
            </w:pPr>
            <w:r/>
            <w:r>
              <w:rPr>
                <w:rFonts w:ascii="Times New Roman" w:hAnsi="Times New Roman"/>
                <w:sz w:val="14"/>
              </w:rPr>
              <w:t>Litigation</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0.999</w:t>
            </w:r>
          </w:p>
        </w:tc>
        <w:tc>
          <w:tcPr>
            <w:tcW w:type="dxa" w:w="1040"/>
          </w:tcPr>
          <w:p>
            <w:pPr>
              <w:jc w:val="center"/>
            </w:pPr>
            <w:r/>
            <w:r>
              <w:rPr>
                <w:rFonts w:ascii="Times New Roman" w:hAnsi="Times New Roman"/>
                <w:sz w:val="14"/>
              </w:rPr>
              <w:t>2004</w:t>
            </w:r>
          </w:p>
        </w:tc>
        <w:tc>
          <w:tcPr>
            <w:tcW w:type="dxa" w:w="1040"/>
          </w:tcPr>
          <w:p>
            <w:pPr>
              <w:jc w:val="center"/>
            </w:pPr>
            <w:r/>
            <w:r>
              <w:rPr>
                <w:rFonts w:ascii="Times New Roman" w:hAnsi="Times New Roman"/>
                <w:sz w:val="14"/>
              </w:rPr>
              <w:t>185.9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-9.8 (0.055)</w:t>
            </w:r>
          </w:p>
        </w:tc>
      </w:tr>
      <w:tr>
        <w:tc>
          <w:tcPr>
            <w:tcW w:type="dxa" w:w="1040"/>
          </w:tcPr>
          <w:p>
            <w:r/>
            <w:r>
              <w:rPr>
                <w:rFonts w:ascii="Times New Roman" w:hAnsi="Times New Roman"/>
                <w:sz w:val="14"/>
              </w:rPr>
              <w:t>Anaesthesiology</w:t>
            </w:r>
          </w:p>
        </w:tc>
        <w:tc>
          <w:tcPr>
            <w:tcW w:type="dxa" w:w="1040"/>
          </w:tcPr>
          <w:p>
            <w:pPr>
              <w:jc w:val="center"/>
            </w:pPr>
            <w:r/>
            <w:r>
              <w:rPr>
                <w:rFonts w:ascii="Times New Roman" w:hAnsi="Times New Roman"/>
                <w:sz w:val="14"/>
              </w:rPr>
              <w:t>Litigation</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0.996</w:t>
            </w:r>
          </w:p>
        </w:tc>
        <w:tc>
          <w:tcPr>
            <w:tcW w:type="dxa" w:w="1040"/>
          </w:tcPr>
          <w:p>
            <w:pPr>
              <w:jc w:val="center"/>
            </w:pPr>
            <w:r/>
            <w:r>
              <w:rPr>
                <w:rFonts w:ascii="Times New Roman" w:hAnsi="Times New Roman"/>
                <w:sz w:val="14"/>
              </w:rPr>
              <w:t>2005</w:t>
            </w:r>
          </w:p>
        </w:tc>
        <w:tc>
          <w:tcPr>
            <w:tcW w:type="dxa" w:w="1040"/>
          </w:tcPr>
          <w:p>
            <w:pPr>
              <w:jc w:val="center"/>
            </w:pPr>
            <w:r/>
            <w:r>
              <w:rPr>
                <w:rFonts w:ascii="Times New Roman" w:hAnsi="Times New Roman"/>
                <w:sz w:val="14"/>
              </w:rPr>
              <w:t>60.7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17.3 (0.000)</w:t>
            </w:r>
          </w:p>
        </w:tc>
      </w:tr>
      <w:tr>
        <w:tc>
          <w:tcPr>
            <w:tcW w:type="dxa" w:w="1040"/>
          </w:tcPr>
          <w:p>
            <w:r/>
            <w:r>
              <w:rPr>
                <w:rFonts w:ascii="Times New Roman" w:hAnsi="Times New Roman"/>
                <w:sz w:val="14"/>
              </w:rPr>
              <w:t>Internal medicine</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0.999</w:t>
            </w:r>
          </w:p>
        </w:tc>
        <w:tc>
          <w:tcPr>
            <w:tcW w:type="dxa" w:w="1040"/>
          </w:tcPr>
          <w:p>
            <w:pPr>
              <w:jc w:val="center"/>
            </w:pPr>
            <w:r/>
            <w:r>
              <w:rPr>
                <w:rFonts w:ascii="Times New Roman" w:hAnsi="Times New Roman"/>
                <w:sz w:val="14"/>
              </w:rPr>
              <w:t>2021</w:t>
            </w:r>
          </w:p>
        </w:tc>
        <w:tc>
          <w:tcPr>
            <w:tcW w:type="dxa" w:w="1040"/>
          </w:tcPr>
          <w:p>
            <w:pPr>
              <w:jc w:val="center"/>
            </w:pPr>
            <w:r/>
            <w:r>
              <w:rPr>
                <w:rFonts w:ascii="Times New Roman" w:hAnsi="Times New Roman"/>
                <w:sz w:val="14"/>
              </w:rPr>
              <w:t>402.0 (0.000)</w:t>
            </w:r>
          </w:p>
        </w:tc>
        <w:tc>
          <w:tcPr>
            <w:tcW w:type="dxa" w:w="1040"/>
          </w:tcPr>
          <w:p>
            <w:pPr>
              <w:jc w:val="center"/>
            </w:pPr>
            <w:r/>
            <w:r>
              <w:rPr>
                <w:rFonts w:ascii="Times New Roman" w:hAnsi="Times New Roman"/>
                <w:sz w:val="14"/>
              </w:rPr>
              <w:t>-111.4 (0.153)</w:t>
            </w:r>
          </w:p>
        </w:tc>
        <w:tc>
          <w:tcPr>
            <w:tcW w:type="dxa" w:w="1040"/>
          </w:tcPr>
          <w:p>
            <w:pPr>
              <w:jc w:val="center"/>
            </w:pPr>
            <w:r/>
            <w:r>
              <w:rPr>
                <w:rFonts w:ascii="Times New Roman" w:hAnsi="Times New Roman"/>
                <w:sz w:val="14"/>
              </w:rPr>
              <w:t>-47.2 (0.302)</w:t>
            </w:r>
          </w:p>
        </w:tc>
        <w:tc>
          <w:tcPr>
            <w:tcW w:type="dxa" w:w="1040"/>
          </w:tcPr>
          <w:p>
            <w:pPr>
              <w:jc w:val="center"/>
            </w:pPr>
            <w:r/>
            <w:r>
              <w:rPr>
                <w:rFonts w:ascii="Times New Roman" w:hAnsi="Times New Roman"/>
                <w:sz w:val="14"/>
              </w:rPr>
              <w:t>22.9 (0.848)</w:t>
            </w:r>
          </w:p>
        </w:tc>
      </w:tr>
      <w:tr>
        <w:tc>
          <w:tcPr>
            <w:tcW w:type="dxa" w:w="1040"/>
          </w:tcPr>
          <w:p>
            <w:r/>
            <w:r>
              <w:rPr>
                <w:rFonts w:ascii="Times New Roman" w:hAnsi="Times New Roman"/>
                <w:sz w:val="14"/>
              </w:rPr>
              <w:t>Internal medicine</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0.998</w:t>
            </w:r>
          </w:p>
        </w:tc>
        <w:tc>
          <w:tcPr>
            <w:tcW w:type="dxa" w:w="1040"/>
          </w:tcPr>
          <w:p>
            <w:pPr>
              <w:jc w:val="center"/>
            </w:pPr>
            <w:r/>
            <w:r>
              <w:rPr>
                <w:rFonts w:ascii="Times New Roman" w:hAnsi="Times New Roman"/>
                <w:sz w:val="14"/>
              </w:rPr>
              <w:t>2021</w:t>
            </w:r>
          </w:p>
        </w:tc>
        <w:tc>
          <w:tcPr>
            <w:tcW w:type="dxa" w:w="1040"/>
          </w:tcPr>
          <w:p>
            <w:pPr>
              <w:jc w:val="center"/>
            </w:pPr>
            <w:r/>
            <w:r>
              <w:rPr>
                <w:rFonts w:ascii="Times New Roman" w:hAnsi="Times New Roman"/>
                <w:sz w:val="14"/>
              </w:rPr>
              <w:t>-291.6 (0.000)</w:t>
            </w:r>
          </w:p>
        </w:tc>
        <w:tc>
          <w:tcPr>
            <w:tcW w:type="dxa" w:w="1040"/>
          </w:tcPr>
          <w:p>
            <w:pPr>
              <w:jc w:val="center"/>
            </w:pPr>
            <w:r/>
            <w:r>
              <w:rPr>
                <w:rFonts w:ascii="Times New Roman" w:hAnsi="Times New Roman"/>
                <w:sz w:val="14"/>
              </w:rPr>
              <w:t>188.5 (0.040)</w:t>
            </w:r>
          </w:p>
        </w:tc>
        <w:tc>
          <w:tcPr>
            <w:tcW w:type="dxa" w:w="1040"/>
          </w:tcPr>
          <w:p>
            <w:pPr>
              <w:jc w:val="center"/>
            </w:pPr>
            <w:r/>
            <w:r>
              <w:rPr>
                <w:rFonts w:ascii="Times New Roman" w:hAnsi="Times New Roman"/>
                <w:sz w:val="14"/>
              </w:rPr>
              <w:t>79.0 (0.117)</w:t>
            </w:r>
          </w:p>
        </w:tc>
        <w:tc>
          <w:tcPr>
            <w:tcW w:type="dxa" w:w="1040"/>
          </w:tcPr>
          <w:p>
            <w:pPr>
              <w:jc w:val="center"/>
            </w:pPr>
            <w:r/>
            <w:r>
              <w:rPr>
                <w:rFonts w:ascii="Times New Roman" w:hAnsi="Times New Roman"/>
                <w:sz w:val="14"/>
              </w:rPr>
              <w:t>-191.3 (0.162)</w:t>
            </w:r>
          </w:p>
        </w:tc>
      </w:tr>
      <w:tr>
        <w:tc>
          <w:tcPr>
            <w:tcW w:type="dxa" w:w="1040"/>
          </w:tcPr>
          <w:p>
            <w:r/>
            <w:r>
              <w:rPr>
                <w:rFonts w:ascii="Times New Roman" w:hAnsi="Times New Roman"/>
                <w:sz w:val="14"/>
              </w:rPr>
              <w:t>General surgery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0.989</w:t>
            </w:r>
          </w:p>
        </w:tc>
        <w:tc>
          <w:tcPr>
            <w:tcW w:type="dxa" w:w="1040"/>
          </w:tcPr>
          <w:p>
            <w:pPr>
              <w:jc w:val="center"/>
            </w:pPr>
            <w:r/>
            <w:r>
              <w:rPr>
                <w:rFonts w:ascii="Times New Roman" w:hAnsi="Times New Roman"/>
                <w:sz w:val="14"/>
              </w:rPr>
              <w:t>2016</w:t>
            </w:r>
          </w:p>
        </w:tc>
        <w:tc>
          <w:tcPr>
            <w:tcW w:type="dxa" w:w="1040"/>
          </w:tcPr>
          <w:p>
            <w:pPr>
              <w:jc w:val="center"/>
            </w:pPr>
            <w:r/>
            <w:r>
              <w:rPr>
                <w:rFonts w:ascii="Times New Roman" w:hAnsi="Times New Roman"/>
                <w:sz w:val="14"/>
              </w:rPr>
              <w:t>-254.2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34.2 (0.835)</w:t>
            </w:r>
          </w:p>
        </w:tc>
      </w:tr>
      <w:tr>
        <w:tc>
          <w:tcPr>
            <w:tcW w:type="dxa" w:w="1040"/>
          </w:tcPr>
          <w:p>
            <w:r/>
            <w:r>
              <w:rPr>
                <w:rFonts w:ascii="Times New Roman" w:hAnsi="Times New Roman"/>
                <w:sz w:val="14"/>
              </w:rPr>
              <w:t>General surgery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0.994</w:t>
            </w:r>
          </w:p>
        </w:tc>
        <w:tc>
          <w:tcPr>
            <w:tcW w:type="dxa" w:w="1040"/>
          </w:tcPr>
          <w:p>
            <w:pPr>
              <w:jc w:val="center"/>
            </w:pPr>
            <w:r/>
            <w:r>
              <w:rPr>
                <w:rFonts w:ascii="Times New Roman" w:hAnsi="Times New Roman"/>
                <w:sz w:val="14"/>
              </w:rPr>
              <w:t>2016</w:t>
            </w:r>
          </w:p>
        </w:tc>
        <w:tc>
          <w:tcPr>
            <w:tcW w:type="dxa" w:w="1040"/>
          </w:tcPr>
          <w:p>
            <w:pPr>
              <w:jc w:val="center"/>
            </w:pPr>
            <w:r/>
            <w:r>
              <w:rPr>
                <w:rFonts w:ascii="Times New Roman" w:hAnsi="Times New Roman"/>
                <w:sz w:val="14"/>
              </w:rPr>
              <w:t>-350.1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105.7 (0.543)</w:t>
            </w:r>
          </w:p>
        </w:tc>
      </w:tr>
      <w:tr>
        <w:tc>
          <w:tcPr>
            <w:tcW w:type="dxa" w:w="1040"/>
          </w:tcPr>
          <w:p>
            <w:r/>
            <w:r>
              <w:rPr>
                <w:rFonts w:ascii="Times New Roman" w:hAnsi="Times New Roman"/>
                <w:sz w:val="14"/>
              </w:rPr>
              <w:t>Orthopaedic surgery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0.999</w:t>
            </w:r>
          </w:p>
        </w:tc>
        <w:tc>
          <w:tcPr>
            <w:tcW w:type="dxa" w:w="1040"/>
          </w:tcPr>
          <w:p>
            <w:pPr>
              <w:jc w:val="center"/>
            </w:pPr>
            <w:r/>
            <w:r>
              <w:rPr>
                <w:rFonts w:ascii="Times New Roman" w:hAnsi="Times New Roman"/>
                <w:sz w:val="14"/>
              </w:rPr>
              <w:t>2021</w:t>
            </w:r>
          </w:p>
        </w:tc>
        <w:tc>
          <w:tcPr>
            <w:tcW w:type="dxa" w:w="1040"/>
          </w:tcPr>
          <w:p>
            <w:pPr>
              <w:jc w:val="center"/>
            </w:pPr>
            <w:r/>
            <w:r>
              <w:rPr>
                <w:rFonts w:ascii="Times New Roman" w:hAnsi="Times New Roman"/>
                <w:sz w:val="14"/>
              </w:rPr>
              <w:t>187.2 (0.000)</w:t>
            </w:r>
          </w:p>
        </w:tc>
        <w:tc>
          <w:tcPr>
            <w:tcW w:type="dxa" w:w="1040"/>
          </w:tcPr>
          <w:p>
            <w:pPr>
              <w:jc w:val="center"/>
            </w:pPr>
            <w:r/>
            <w:r>
              <w:rPr>
                <w:rFonts w:ascii="Times New Roman" w:hAnsi="Times New Roman"/>
                <w:sz w:val="14"/>
              </w:rPr>
              <w:t>-34.3 (0.404)</w:t>
            </w:r>
          </w:p>
        </w:tc>
        <w:tc>
          <w:tcPr>
            <w:tcW w:type="dxa" w:w="1040"/>
          </w:tcPr>
          <w:p>
            <w:pPr>
              <w:jc w:val="center"/>
            </w:pPr>
            <w:r/>
            <w:r>
              <w:rPr>
                <w:rFonts w:ascii="Times New Roman" w:hAnsi="Times New Roman"/>
                <w:sz w:val="14"/>
              </w:rPr>
              <w:t>15.6 (0.411)</w:t>
            </w:r>
          </w:p>
        </w:tc>
        <w:tc>
          <w:tcPr>
            <w:tcW w:type="dxa" w:w="1040"/>
          </w:tcPr>
          <w:p>
            <w:pPr>
              <w:jc w:val="center"/>
            </w:pPr>
            <w:r/>
            <w:r>
              <w:rPr>
                <w:rFonts w:ascii="Times New Roman" w:hAnsi="Times New Roman"/>
                <w:sz w:val="14"/>
              </w:rPr>
              <w:t>63.0 (0.336)</w:t>
            </w:r>
          </w:p>
        </w:tc>
      </w:tr>
      <w:tr>
        <w:tc>
          <w:tcPr>
            <w:tcW w:type="dxa" w:w="1040"/>
          </w:tcPr>
          <w:p>
            <w:r/>
            <w:r>
              <w:rPr>
                <w:rFonts w:ascii="Times New Roman" w:hAnsi="Times New Roman"/>
                <w:sz w:val="14"/>
              </w:rPr>
              <w:t>Orthopaedic surgery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2021</w:t>
            </w:r>
          </w:p>
        </w:tc>
        <w:tc>
          <w:tcPr>
            <w:tcW w:type="dxa" w:w="1040"/>
          </w:tcPr>
          <w:p>
            <w:pPr>
              <w:jc w:val="center"/>
            </w:pPr>
            <w:r/>
            <w:r>
              <w:rPr>
                <w:rFonts w:ascii="Times New Roman" w:hAnsi="Times New Roman"/>
                <w:sz w:val="14"/>
              </w:rPr>
              <w:t>-39.4 (0.000)</w:t>
            </w:r>
          </w:p>
        </w:tc>
        <w:tc>
          <w:tcPr>
            <w:tcW w:type="dxa" w:w="1040"/>
          </w:tcPr>
          <w:p>
            <w:pPr>
              <w:jc w:val="center"/>
            </w:pPr>
            <w:r/>
            <w:r>
              <w:rPr>
                <w:rFonts w:ascii="Times New Roman" w:hAnsi="Times New Roman"/>
                <w:sz w:val="14"/>
              </w:rPr>
              <w:t>28.2 (0.004)</w:t>
            </w:r>
          </w:p>
        </w:tc>
        <w:tc>
          <w:tcPr>
            <w:tcW w:type="dxa" w:w="1040"/>
          </w:tcPr>
          <w:p>
            <w:pPr>
              <w:jc w:val="center"/>
            </w:pPr>
            <w:r/>
            <w:r>
              <w:rPr>
                <w:rFonts w:ascii="Times New Roman" w:hAnsi="Times New Roman"/>
                <w:sz w:val="14"/>
              </w:rPr>
              <w:t>14.0 (0.003)</w:t>
            </w:r>
          </w:p>
        </w:tc>
        <w:tc>
          <w:tcPr>
            <w:tcW w:type="dxa" w:w="1040"/>
          </w:tcPr>
          <w:p>
            <w:pPr>
              <w:jc w:val="center"/>
            </w:pPr>
            <w:r/>
            <w:r>
              <w:rPr>
                <w:rFonts w:ascii="Times New Roman" w:hAnsi="Times New Roman"/>
                <w:sz w:val="14"/>
              </w:rPr>
              <w:t>-23.4 (0.033)</w:t>
            </w:r>
          </w:p>
        </w:tc>
      </w:tr>
      <w:tr>
        <w:tc>
          <w:tcPr>
            <w:tcW w:type="dxa" w:w="1040"/>
          </w:tcPr>
          <w:p>
            <w:r/>
            <w:r>
              <w:rPr>
                <w:rFonts w:ascii="Times New Roman" w:hAnsi="Times New Roman"/>
                <w:sz w:val="14"/>
              </w:rPr>
              <w:t>Plastic surgery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0.999</w:t>
            </w:r>
          </w:p>
        </w:tc>
        <w:tc>
          <w:tcPr>
            <w:tcW w:type="dxa" w:w="1040"/>
          </w:tcPr>
          <w:p>
            <w:pPr>
              <w:jc w:val="center"/>
            </w:pPr>
            <w:r/>
            <w:r>
              <w:rPr>
                <w:rFonts w:ascii="Times New Roman" w:hAnsi="Times New Roman"/>
                <w:sz w:val="14"/>
              </w:rPr>
              <w:t>2018</w:t>
            </w:r>
          </w:p>
        </w:tc>
        <w:tc>
          <w:tcPr>
            <w:tcW w:type="dxa" w:w="1040"/>
          </w:tcPr>
          <w:p>
            <w:pPr>
              <w:jc w:val="center"/>
            </w:pPr>
            <w:r/>
            <w:r>
              <w:rPr>
                <w:rFonts w:ascii="Times New Roman" w:hAnsi="Times New Roman"/>
                <w:sz w:val="14"/>
              </w:rPr>
              <w:t>88.7 (0.000)</w:t>
            </w:r>
          </w:p>
        </w:tc>
        <w:tc>
          <w:tcPr>
            <w:tcW w:type="dxa" w:w="1040"/>
          </w:tcPr>
          <w:p>
            <w:pPr>
              <w:jc w:val="center"/>
            </w:pPr>
            <w:r/>
            <w:r>
              <w:rPr>
                <w:rFonts w:ascii="Times New Roman" w:hAnsi="Times New Roman"/>
                <w:sz w:val="14"/>
              </w:rPr>
              <w:t>-52.7 (0.081)</w:t>
            </w:r>
          </w:p>
        </w:tc>
        <w:tc>
          <w:tcPr>
            <w:tcW w:type="dxa" w:w="1040"/>
          </w:tcPr>
          <w:p>
            <w:pPr>
              <w:jc w:val="center"/>
            </w:pPr>
            <w:r/>
            <w:r>
              <w:rPr>
                <w:rFonts w:ascii="Times New Roman" w:hAnsi="Times New Roman"/>
                <w:sz w:val="14"/>
              </w:rPr>
              <w:t>3.2 (0.668)</w:t>
            </w:r>
          </w:p>
        </w:tc>
        <w:tc>
          <w:tcPr>
            <w:tcW w:type="dxa" w:w="1040"/>
          </w:tcPr>
          <w:p>
            <w:pPr>
              <w:jc w:val="center"/>
            </w:pPr>
            <w:r/>
            <w:r>
              <w:rPr>
                <w:rFonts w:ascii="Times New Roman" w:hAnsi="Times New Roman"/>
                <w:sz w:val="14"/>
              </w:rPr>
              <w:t>33.9 (0.191)</w:t>
            </w:r>
          </w:p>
        </w:tc>
      </w:tr>
      <w:tr>
        <w:tc>
          <w:tcPr>
            <w:tcW w:type="dxa" w:w="1040"/>
          </w:tcPr>
          <w:p>
            <w:r/>
            <w:r>
              <w:rPr>
                <w:rFonts w:ascii="Times New Roman" w:hAnsi="Times New Roman"/>
                <w:sz w:val="14"/>
              </w:rPr>
              <w:t>Plastic surgery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2018</w:t>
            </w:r>
          </w:p>
        </w:tc>
        <w:tc>
          <w:tcPr>
            <w:tcW w:type="dxa" w:w="1040"/>
          </w:tcPr>
          <w:p>
            <w:pPr>
              <w:jc w:val="center"/>
            </w:pPr>
            <w:r/>
            <w:r>
              <w:rPr>
                <w:rFonts w:ascii="Times New Roman" w:hAnsi="Times New Roman"/>
                <w:sz w:val="14"/>
              </w:rPr>
              <w:t>82.7 (0.000)</w:t>
            </w:r>
          </w:p>
        </w:tc>
        <w:tc>
          <w:tcPr>
            <w:tcW w:type="dxa" w:w="1040"/>
          </w:tcPr>
          <w:p>
            <w:pPr>
              <w:jc w:val="center"/>
            </w:pPr>
            <w:r/>
            <w:r>
              <w:rPr>
                <w:rFonts w:ascii="Times New Roman" w:hAnsi="Times New Roman"/>
                <w:sz w:val="14"/>
              </w:rPr>
              <w:t>-8.4 (0.380)</w:t>
            </w:r>
          </w:p>
        </w:tc>
        <w:tc>
          <w:tcPr>
            <w:tcW w:type="dxa" w:w="1040"/>
          </w:tcPr>
          <w:p>
            <w:pPr>
              <w:jc w:val="center"/>
            </w:pPr>
            <w:r/>
            <w:r>
              <w:rPr>
                <w:rFonts w:ascii="Times New Roman" w:hAnsi="Times New Roman"/>
                <w:sz w:val="14"/>
              </w:rPr>
              <w:t>11.8 (0.010)</w:t>
            </w:r>
          </w:p>
        </w:tc>
        <w:tc>
          <w:tcPr>
            <w:tcW w:type="dxa" w:w="1040"/>
          </w:tcPr>
          <w:p>
            <w:pPr>
              <w:jc w:val="center"/>
            </w:pPr>
            <w:r/>
            <w:r>
              <w:rPr>
                <w:rFonts w:ascii="Times New Roman" w:hAnsi="Times New Roman"/>
                <w:sz w:val="14"/>
              </w:rPr>
              <w:t>10.2 (0.275)</w:t>
            </w:r>
          </w:p>
        </w:tc>
      </w:tr>
      <w:tr>
        <w:tc>
          <w:tcPr>
            <w:tcW w:type="dxa" w:w="1040"/>
          </w:tcPr>
          <w:p>
            <w:r/>
            <w:r>
              <w:rPr>
                <w:rFonts w:ascii="Times New Roman" w:hAnsi="Times New Roman"/>
                <w:sz w:val="14"/>
              </w:rPr>
              <w:t>Obstetrics &amp; gynaecology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0.988</w:t>
            </w:r>
          </w:p>
        </w:tc>
        <w:tc>
          <w:tcPr>
            <w:tcW w:type="dxa" w:w="1040"/>
          </w:tcPr>
          <w:p>
            <w:pPr>
              <w:jc w:val="center"/>
            </w:pPr>
            <w:r/>
            <w:r>
              <w:rPr>
                <w:rFonts w:ascii="Times New Roman" w:hAnsi="Times New Roman"/>
                <w:sz w:val="14"/>
              </w:rPr>
              <w:t>2017</w:t>
            </w:r>
          </w:p>
        </w:tc>
        <w:tc>
          <w:tcPr>
            <w:tcW w:type="dxa" w:w="1040"/>
          </w:tcPr>
          <w:p>
            <w:pPr>
              <w:jc w:val="center"/>
            </w:pPr>
            <w:r/>
            <w:r>
              <w:rPr>
                <w:rFonts w:ascii="Times New Roman" w:hAnsi="Times New Roman"/>
                <w:sz w:val="14"/>
              </w:rPr>
              <w:t>92.6 (0.348)</w:t>
            </w:r>
          </w:p>
        </w:tc>
        <w:tc>
          <w:tcPr>
            <w:tcW w:type="dxa" w:w="1040"/>
          </w:tcPr>
          <w:p>
            <w:pPr>
              <w:jc w:val="center"/>
            </w:pPr>
            <w:r/>
            <w:r>
              <w:rPr>
                <w:rFonts w:ascii="Times New Roman" w:hAnsi="Times New Roman"/>
                <w:sz w:val="14"/>
              </w:rPr>
              <w:t>43.1 (0.726)</w:t>
            </w:r>
          </w:p>
        </w:tc>
        <w:tc>
          <w:tcPr>
            <w:tcW w:type="dxa" w:w="1040"/>
          </w:tcPr>
          <w:p>
            <w:pPr>
              <w:jc w:val="center"/>
            </w:pPr>
            <w:r/>
            <w:r>
              <w:rPr>
                <w:rFonts w:ascii="Times New Roman" w:hAnsi="Times New Roman"/>
                <w:sz w:val="14"/>
              </w:rPr>
              <w:t>31.2 (0.783)</w:t>
            </w:r>
          </w:p>
        </w:tc>
        <w:tc>
          <w:tcPr>
            <w:tcW w:type="dxa" w:w="1040"/>
          </w:tcPr>
          <w:p>
            <w:pPr>
              <w:jc w:val="center"/>
            </w:pPr>
            <w:r/>
            <w:r>
              <w:rPr>
                <w:rFonts w:ascii="Times New Roman" w:hAnsi="Times New Roman"/>
                <w:sz w:val="14"/>
              </w:rPr>
              <w:t>319.1 (0.213)</w:t>
            </w:r>
          </w:p>
        </w:tc>
      </w:tr>
      <w:tr>
        <w:tc>
          <w:tcPr>
            <w:tcW w:type="dxa" w:w="1040"/>
          </w:tcPr>
          <w:p>
            <w:r/>
            <w:r>
              <w:rPr>
                <w:rFonts w:ascii="Times New Roman" w:hAnsi="Times New Roman"/>
                <w:sz w:val="14"/>
              </w:rPr>
              <w:t>Obstetrics &amp; gynaecology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0.999</w:t>
            </w:r>
          </w:p>
        </w:tc>
        <w:tc>
          <w:tcPr>
            <w:tcW w:type="dxa" w:w="1040"/>
          </w:tcPr>
          <w:p>
            <w:pPr>
              <w:jc w:val="center"/>
            </w:pPr>
            <w:r/>
            <w:r>
              <w:rPr>
                <w:rFonts w:ascii="Times New Roman" w:hAnsi="Times New Roman"/>
                <w:sz w:val="14"/>
              </w:rPr>
              <w:t>2017</w:t>
            </w:r>
          </w:p>
        </w:tc>
        <w:tc>
          <w:tcPr>
            <w:tcW w:type="dxa" w:w="1040"/>
          </w:tcPr>
          <w:p>
            <w:pPr>
              <w:jc w:val="center"/>
            </w:pPr>
            <w:r/>
            <w:r>
              <w:rPr>
                <w:rFonts w:ascii="Times New Roman" w:hAnsi="Times New Roman"/>
                <w:sz w:val="14"/>
              </w:rPr>
              <w:t>-105.6 (0.006)</w:t>
            </w:r>
          </w:p>
        </w:tc>
        <w:tc>
          <w:tcPr>
            <w:tcW w:type="dxa" w:w="1040"/>
          </w:tcPr>
          <w:p>
            <w:pPr>
              <w:jc w:val="center"/>
            </w:pPr>
            <w:r/>
            <w:r>
              <w:rPr>
                <w:rFonts w:ascii="Times New Roman" w:hAnsi="Times New Roman"/>
                <w:sz w:val="14"/>
              </w:rPr>
              <w:t>14.3 (0.610)</w:t>
            </w:r>
          </w:p>
        </w:tc>
        <w:tc>
          <w:tcPr>
            <w:tcW w:type="dxa" w:w="1040"/>
          </w:tcPr>
          <w:p>
            <w:pPr>
              <w:jc w:val="center"/>
            </w:pPr>
            <w:r/>
            <w:r>
              <w:rPr>
                <w:rFonts w:ascii="Times New Roman" w:hAnsi="Times New Roman"/>
                <w:sz w:val="14"/>
              </w:rPr>
              <w:t>53.6 (0.089)</w:t>
            </w:r>
          </w:p>
        </w:tc>
        <w:tc>
          <w:tcPr>
            <w:tcW w:type="dxa" w:w="1040"/>
          </w:tcPr>
          <w:p>
            <w:pPr>
              <w:jc w:val="center"/>
            </w:pPr>
            <w:r/>
            <w:r>
              <w:rPr>
                <w:rFonts w:ascii="Times New Roman" w:hAnsi="Times New Roman"/>
                <w:sz w:val="14"/>
              </w:rPr>
              <w:t>71.5 (0.216)</w:t>
            </w:r>
          </w:p>
        </w:tc>
      </w:tr>
      <w:tr>
        <w:tc>
          <w:tcPr>
            <w:tcW w:type="dxa" w:w="1040"/>
          </w:tcPr>
          <w:p>
            <w:r/>
            <w:r>
              <w:rPr>
                <w:rFonts w:ascii="Times New Roman" w:hAnsi="Times New Roman"/>
                <w:sz w:val="14"/>
              </w:rPr>
              <w:t>Paediatrics</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0.986</w:t>
            </w:r>
          </w:p>
        </w:tc>
        <w:tc>
          <w:tcPr>
            <w:tcW w:type="dxa" w:w="1040"/>
          </w:tcPr>
          <w:p>
            <w:pPr>
              <w:jc w:val="center"/>
            </w:pPr>
            <w:r/>
            <w:r>
              <w:rPr>
                <w:rFonts w:ascii="Times New Roman" w:hAnsi="Times New Roman"/>
                <w:sz w:val="14"/>
              </w:rPr>
              <w:t>2016</w:t>
            </w:r>
          </w:p>
        </w:tc>
        <w:tc>
          <w:tcPr>
            <w:tcW w:type="dxa" w:w="1040"/>
          </w:tcPr>
          <w:p>
            <w:pPr>
              <w:jc w:val="center"/>
            </w:pPr>
            <w:r/>
            <w:r>
              <w:rPr>
                <w:rFonts w:ascii="Times New Roman" w:hAnsi="Times New Roman"/>
                <w:sz w:val="14"/>
              </w:rPr>
              <w:t>203.2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-158.2 (0.426)</w:t>
            </w:r>
          </w:p>
        </w:tc>
      </w:tr>
      <w:tr>
        <w:tc>
          <w:tcPr>
            <w:tcW w:type="dxa" w:w="1040"/>
          </w:tcPr>
          <w:p>
            <w:r/>
            <w:r>
              <w:rPr>
                <w:rFonts w:ascii="Times New Roman" w:hAnsi="Times New Roman"/>
                <w:sz w:val="14"/>
              </w:rPr>
              <w:t>Paediatrics</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0.996</w:t>
            </w:r>
          </w:p>
        </w:tc>
        <w:tc>
          <w:tcPr>
            <w:tcW w:type="dxa" w:w="1040"/>
          </w:tcPr>
          <w:p>
            <w:pPr>
              <w:jc w:val="center"/>
            </w:pPr>
            <w:r/>
            <w:r>
              <w:rPr>
                <w:rFonts w:ascii="Times New Roman" w:hAnsi="Times New Roman"/>
                <w:sz w:val="14"/>
              </w:rPr>
              <w:t>2016</w:t>
            </w:r>
          </w:p>
        </w:tc>
        <w:tc>
          <w:tcPr>
            <w:tcW w:type="dxa" w:w="1040"/>
          </w:tcPr>
          <w:p>
            <w:pPr>
              <w:jc w:val="center"/>
            </w:pPr>
            <w:r/>
            <w:r>
              <w:rPr>
                <w:rFonts w:ascii="Times New Roman" w:hAnsi="Times New Roman"/>
                <w:sz w:val="14"/>
              </w:rPr>
              <w:t>-198.3 (0.000)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-141.6 (0.160)</w:t>
            </w:r>
          </w:p>
        </w:tc>
      </w:tr>
      <w:tr>
        <w:tc>
          <w:tcPr>
            <w:tcW w:type="dxa" w:w="1040"/>
          </w:tcPr>
          <w:p>
            <w:r/>
            <w:r>
              <w:rPr>
                <w:rFonts w:ascii="Times New Roman" w:hAnsi="Times New Roman"/>
                <w:sz w:val="14"/>
              </w:rPr>
              <w:t>Psychiatry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0.999</w:t>
            </w:r>
          </w:p>
        </w:tc>
        <w:tc>
          <w:tcPr>
            <w:tcW w:type="dxa" w:w="1040"/>
          </w:tcPr>
          <w:p>
            <w:pPr>
              <w:jc w:val="center"/>
            </w:pPr>
            <w:r/>
            <w:r>
              <w:rPr>
                <w:rFonts w:ascii="Times New Roman" w:hAnsi="Times New Roman"/>
                <w:sz w:val="14"/>
              </w:rPr>
              <w:t>2022</w:t>
            </w:r>
          </w:p>
        </w:tc>
        <w:tc>
          <w:tcPr>
            <w:tcW w:type="dxa" w:w="1040"/>
          </w:tcPr>
          <w:p>
            <w:pPr>
              <w:jc w:val="center"/>
            </w:pPr>
            <w:r/>
            <w:r>
              <w:rPr>
                <w:rFonts w:ascii="Times New Roman" w:hAnsi="Times New Roman"/>
                <w:sz w:val="14"/>
              </w:rPr>
              <w:t>255.1 (0.000)</w:t>
            </w:r>
          </w:p>
        </w:tc>
        <w:tc>
          <w:tcPr>
            <w:tcW w:type="dxa" w:w="1040"/>
          </w:tcPr>
          <w:p>
            <w:pPr>
              <w:jc w:val="center"/>
            </w:pPr>
            <w:r/>
            <w:r>
              <w:rPr>
                <w:rFonts w:ascii="Times New Roman" w:hAnsi="Times New Roman"/>
                <w:sz w:val="14"/>
              </w:rPr>
              <w:t>83.4 (0.067)</w:t>
            </w:r>
          </w:p>
        </w:tc>
        <w:tc>
          <w:tcPr>
            <w:tcW w:type="dxa" w:w="1040"/>
          </w:tcPr>
          <w:p>
            <w:pPr>
              <w:jc w:val="center"/>
            </w:pPr>
            <w:r/>
            <w:r>
              <w:rPr>
                <w:rFonts w:ascii="Times New Roman" w:hAnsi="Times New Roman"/>
                <w:sz w:val="14"/>
              </w:rPr>
              <w:t>65.2 (0.165)</w:t>
            </w:r>
          </w:p>
        </w:tc>
        <w:tc>
          <w:tcPr>
            <w:tcW w:type="dxa" w:w="1040"/>
          </w:tcPr>
          <w:p>
            <w:pPr>
              <w:jc w:val="center"/>
            </w:pPr>
            <w:r/>
            <w:r>
              <w:rPr>
                <w:rFonts w:ascii="Times New Roman" w:hAnsi="Times New Roman"/>
                <w:sz w:val="14"/>
              </w:rPr>
              <w:t>49.9 (0.485)</w:t>
            </w:r>
          </w:p>
        </w:tc>
      </w:tr>
      <w:tr>
        <w:tc>
          <w:tcPr>
            <w:tcW w:type="dxa" w:w="1040"/>
          </w:tcPr>
          <w:p>
            <w:r/>
            <w:r>
              <w:rPr>
                <w:rFonts w:ascii="Times New Roman" w:hAnsi="Times New Roman"/>
                <w:sz w:val="14"/>
              </w:rPr>
              <w:t>Psychiatry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2022</w:t>
            </w:r>
          </w:p>
        </w:tc>
        <w:tc>
          <w:tcPr>
            <w:tcW w:type="dxa" w:w="1040"/>
          </w:tcPr>
          <w:p>
            <w:pPr>
              <w:jc w:val="center"/>
            </w:pPr>
            <w:r/>
            <w:r>
              <w:rPr>
                <w:rFonts w:ascii="Times New Roman" w:hAnsi="Times New Roman"/>
                <w:sz w:val="14"/>
              </w:rPr>
              <w:t>35.0 (0.000)</w:t>
            </w:r>
          </w:p>
        </w:tc>
        <w:tc>
          <w:tcPr>
            <w:tcW w:type="dxa" w:w="1040"/>
          </w:tcPr>
          <w:p>
            <w:pPr>
              <w:jc w:val="center"/>
            </w:pPr>
            <w:r/>
            <w:r>
              <w:rPr>
                <w:rFonts w:ascii="Times New Roman" w:hAnsi="Times New Roman"/>
                <w:sz w:val="14"/>
              </w:rPr>
              <w:t>0.0 (0.959)</w:t>
            </w:r>
          </w:p>
        </w:tc>
        <w:tc>
          <w:tcPr>
            <w:tcW w:type="dxa" w:w="1040"/>
          </w:tcPr>
          <w:p>
            <w:pPr>
              <w:jc w:val="center"/>
            </w:pPr>
            <w:r/>
            <w:r>
              <w:rPr>
                <w:rFonts w:ascii="Times New Roman" w:hAnsi="Times New Roman"/>
                <w:sz w:val="14"/>
              </w:rPr>
              <w:t>0.0 (0.806)</w:t>
            </w:r>
          </w:p>
        </w:tc>
        <w:tc>
          <w:tcPr>
            <w:tcW w:type="dxa" w:w="1040"/>
          </w:tcPr>
          <w:p>
            <w:pPr>
              <w:jc w:val="center"/>
            </w:pPr>
            <w:r/>
            <w:r>
              <w:rPr>
                <w:rFonts w:ascii="Times New Roman" w:hAnsi="Times New Roman"/>
                <w:sz w:val="14"/>
              </w:rPr>
              <w:t>-0.0 (0.936)</w:t>
            </w:r>
          </w:p>
        </w:tc>
      </w:tr>
      <w:tr>
        <w:tc>
          <w:tcPr>
            <w:tcW w:type="dxa" w:w="1040"/>
          </w:tcPr>
          <w:p>
            <w:r/>
            <w:r>
              <w:rPr>
                <w:rFonts w:ascii="Times New Roman" w:hAnsi="Times New Roman"/>
                <w:sz w:val="14"/>
              </w:rPr>
              <w:t>Ophthalmology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2018</w:t>
            </w:r>
          </w:p>
        </w:tc>
        <w:tc>
          <w:tcPr>
            <w:tcW w:type="dxa" w:w="1040"/>
          </w:tcPr>
          <w:p>
            <w:pPr>
              <w:jc w:val="center"/>
            </w:pPr>
            <w:r/>
            <w:r>
              <w:rPr>
                <w:rFonts w:ascii="Times New Roman" w:hAnsi="Times New Roman"/>
                <w:sz w:val="14"/>
              </w:rPr>
              <w:t>53.0 (0.000)</w:t>
            </w:r>
          </w:p>
        </w:tc>
        <w:tc>
          <w:tcPr>
            <w:tcW w:type="dxa" w:w="1040"/>
          </w:tcPr>
          <w:p>
            <w:pPr>
              <w:jc w:val="center"/>
            </w:pPr>
            <w:r/>
            <w:r>
              <w:rPr>
                <w:rFonts w:ascii="Times New Roman" w:hAnsi="Times New Roman"/>
                <w:sz w:val="14"/>
              </w:rPr>
              <w:t>10.8 (0.318)</w:t>
            </w:r>
          </w:p>
        </w:tc>
        <w:tc>
          <w:tcPr>
            <w:tcW w:type="dxa" w:w="1040"/>
          </w:tcPr>
          <w:p>
            <w:pPr>
              <w:jc w:val="center"/>
            </w:pPr>
            <w:r/>
            <w:r>
              <w:rPr>
                <w:rFonts w:ascii="Times New Roman" w:hAnsi="Times New Roman"/>
                <w:sz w:val="14"/>
              </w:rPr>
              <w:t>5.6 (0.210)</w:t>
            </w:r>
          </w:p>
        </w:tc>
        <w:tc>
          <w:tcPr>
            <w:tcW w:type="dxa" w:w="1040"/>
          </w:tcPr>
          <w:p>
            <w:pPr>
              <w:jc w:val="center"/>
            </w:pPr>
            <w:r/>
            <w:r>
              <w:rPr>
                <w:rFonts w:ascii="Times New Roman" w:hAnsi="Times New Roman"/>
                <w:sz w:val="14"/>
              </w:rPr>
              <w:t>1.0 (0.933)</w:t>
            </w:r>
          </w:p>
        </w:tc>
      </w:tr>
      <w:tr>
        <w:tc>
          <w:tcPr>
            <w:tcW w:type="dxa" w:w="1040"/>
          </w:tcPr>
          <w:p>
            <w:r/>
            <w:r>
              <w:rPr>
                <w:rFonts w:ascii="Times New Roman" w:hAnsi="Times New Roman"/>
                <w:sz w:val="14"/>
              </w:rPr>
              <w:t>Ophthalmology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2018</w:t>
            </w:r>
          </w:p>
        </w:tc>
        <w:tc>
          <w:tcPr>
            <w:tcW w:type="dxa" w:w="1040"/>
          </w:tcPr>
          <w:p>
            <w:pPr>
              <w:jc w:val="center"/>
            </w:pPr>
            <w:r/>
            <w:r>
              <w:rPr>
                <w:rFonts w:ascii="Times New Roman" w:hAnsi="Times New Roman"/>
                <w:sz w:val="14"/>
              </w:rPr>
              <w:t>-87.3 (0.000)</w:t>
            </w:r>
          </w:p>
        </w:tc>
        <w:tc>
          <w:tcPr>
            <w:tcW w:type="dxa" w:w="1040"/>
          </w:tcPr>
          <w:p>
            <w:pPr>
              <w:jc w:val="center"/>
            </w:pPr>
            <w:r/>
            <w:r>
              <w:rPr>
                <w:rFonts w:ascii="Times New Roman" w:hAnsi="Times New Roman"/>
                <w:sz w:val="14"/>
              </w:rPr>
              <w:t>-3.1 (0.682)</w:t>
            </w:r>
          </w:p>
        </w:tc>
        <w:tc>
          <w:tcPr>
            <w:tcW w:type="dxa" w:w="1040"/>
          </w:tcPr>
          <w:p>
            <w:pPr>
              <w:jc w:val="center"/>
            </w:pPr>
            <w:r/>
            <w:r>
              <w:rPr>
                <w:rFonts w:ascii="Times New Roman" w:hAnsi="Times New Roman"/>
                <w:sz w:val="14"/>
              </w:rPr>
              <w:t>11.6 (0.014)</w:t>
            </w:r>
          </w:p>
        </w:tc>
        <w:tc>
          <w:tcPr>
            <w:tcW w:type="dxa" w:w="1040"/>
          </w:tcPr>
          <w:p>
            <w:pPr>
              <w:jc w:val="center"/>
            </w:pPr>
            <w:r/>
            <w:r>
              <w:rPr>
                <w:rFonts w:ascii="Times New Roman" w:hAnsi="Times New Roman"/>
                <w:sz w:val="14"/>
              </w:rPr>
              <w:t>6.9 (0.457)</w:t>
            </w:r>
          </w:p>
        </w:tc>
      </w:tr>
      <w:tr>
        <w:tc>
          <w:tcPr>
            <w:tcW w:type="dxa" w:w="1040"/>
          </w:tcPr>
          <w:p>
            <w:r/>
            <w:r>
              <w:rPr>
                <w:rFonts w:ascii="Times New Roman" w:hAnsi="Times New Roman"/>
                <w:sz w:val="14"/>
              </w:rPr>
              <w:t>Otolaryngology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0.975</w:t>
            </w:r>
          </w:p>
        </w:tc>
        <w:tc>
          <w:tcPr>
            <w:tcW w:type="dxa" w:w="1040"/>
          </w:tcPr>
          <w:p>
            <w:pPr>
              <w:jc w:val="center"/>
            </w:pPr>
            <w:r/>
            <w:r>
              <w:rPr>
                <w:rFonts w:ascii="Times New Roman" w:hAnsi="Times New Roman"/>
                <w:sz w:val="14"/>
              </w:rPr>
              <w:t>2021</w:t>
            </w:r>
          </w:p>
        </w:tc>
        <w:tc>
          <w:tcPr>
            <w:tcW w:type="dxa" w:w="1040"/>
          </w:tcPr>
          <w:p>
            <w:pPr>
              <w:jc w:val="center"/>
            </w:pPr>
            <w:r/>
            <w:r>
              <w:rPr>
                <w:rFonts w:ascii="Times New Roman" w:hAnsi="Times New Roman"/>
                <w:sz w:val="14"/>
              </w:rPr>
              <w:t>-7.7 (0.048)</w:t>
            </w:r>
          </w:p>
        </w:tc>
        <w:tc>
          <w:tcPr>
            <w:tcW w:type="dxa" w:w="1040"/>
          </w:tcPr>
          <w:p>
            <w:pPr>
              <w:jc w:val="center"/>
            </w:pPr>
            <w:r/>
            <w:r>
              <w:rPr>
                <w:rFonts w:ascii="Times New Roman" w:hAnsi="Times New Roman"/>
                <w:sz w:val="14"/>
              </w:rPr>
              <w:t>-34.1 (0.086)</w:t>
            </w:r>
          </w:p>
        </w:tc>
        <w:tc>
          <w:tcPr>
            <w:tcW w:type="dxa" w:w="1040"/>
          </w:tcPr>
          <w:p>
            <w:pPr>
              <w:jc w:val="center"/>
            </w:pPr>
            <w:r/>
            <w:r>
              <w:rPr>
                <w:rFonts w:ascii="Times New Roman" w:hAnsi="Times New Roman"/>
                <w:sz w:val="14"/>
              </w:rPr>
              <w:t>-19.4 (0.187)</w:t>
            </w:r>
          </w:p>
        </w:tc>
        <w:tc>
          <w:tcPr>
            <w:tcW w:type="dxa" w:w="1040"/>
          </w:tcPr>
          <w:p>
            <w:pPr>
              <w:jc w:val="center"/>
            </w:pPr>
            <w:r/>
            <w:r>
              <w:rPr>
                <w:rFonts w:ascii="Times New Roman" w:hAnsi="Times New Roman"/>
                <w:sz w:val="14"/>
              </w:rPr>
              <w:t>8.9 (0.738)</w:t>
            </w:r>
          </w:p>
        </w:tc>
      </w:tr>
      <w:tr>
        <w:tc>
          <w:tcPr>
            <w:tcW w:type="dxa" w:w="1040"/>
          </w:tcPr>
          <w:p>
            <w:r/>
            <w:r>
              <w:rPr>
                <w:rFonts w:ascii="Times New Roman" w:hAnsi="Times New Roman"/>
                <w:sz w:val="14"/>
              </w:rPr>
              <w:t>Otolaryngology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2021</w:t>
            </w:r>
          </w:p>
        </w:tc>
        <w:tc>
          <w:tcPr>
            <w:tcW w:type="dxa" w:w="1040"/>
          </w:tcPr>
          <w:p>
            <w:pPr>
              <w:jc w:val="center"/>
            </w:pPr>
            <w:r/>
            <w:r>
              <w:rPr>
                <w:rFonts w:ascii="Times New Roman" w:hAnsi="Times New Roman"/>
                <w:sz w:val="14"/>
              </w:rPr>
              <w:t>-102.0 (0.000)</w:t>
            </w:r>
          </w:p>
        </w:tc>
        <w:tc>
          <w:tcPr>
            <w:tcW w:type="dxa" w:w="1040"/>
          </w:tcPr>
          <w:p>
            <w:pPr>
              <w:jc w:val="center"/>
            </w:pPr>
            <w:r/>
            <w:r>
              <w:rPr>
                <w:rFonts w:ascii="Times New Roman" w:hAnsi="Times New Roman"/>
                <w:sz w:val="14"/>
              </w:rPr>
              <w:t>17.8 (0.109)</w:t>
            </w:r>
          </w:p>
        </w:tc>
        <w:tc>
          <w:tcPr>
            <w:tcW w:type="dxa" w:w="1040"/>
          </w:tcPr>
          <w:p>
            <w:pPr>
              <w:jc w:val="center"/>
            </w:pPr>
            <w:r/>
            <w:r>
              <w:rPr>
                <w:rFonts w:ascii="Times New Roman" w:hAnsi="Times New Roman"/>
                <w:sz w:val="14"/>
              </w:rPr>
              <w:t>14.7 (0.103)</w:t>
            </w:r>
          </w:p>
        </w:tc>
        <w:tc>
          <w:tcPr>
            <w:tcW w:type="dxa" w:w="1040"/>
          </w:tcPr>
          <w:p>
            <w:pPr>
              <w:jc w:val="center"/>
            </w:pPr>
            <w:r/>
            <w:r>
              <w:rPr>
                <w:rFonts w:ascii="Times New Roman" w:hAnsi="Times New Roman"/>
                <w:sz w:val="14"/>
              </w:rPr>
              <w:t>0.6 (0.967)</w:t>
            </w:r>
          </w:p>
        </w:tc>
      </w:tr>
      <w:tr>
        <w:tc>
          <w:tcPr>
            <w:tcW w:type="dxa" w:w="1040"/>
          </w:tcPr>
          <w:p>
            <w:r/>
            <w:r>
              <w:rPr>
                <w:rFonts w:ascii="Times New Roman" w:hAnsi="Times New Roman"/>
                <w:sz w:val="14"/>
              </w:rPr>
              <w:t>Urology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0.997</w:t>
            </w:r>
          </w:p>
        </w:tc>
        <w:tc>
          <w:tcPr>
            <w:tcW w:type="dxa" w:w="1040"/>
          </w:tcPr>
          <w:p>
            <w:pPr>
              <w:jc w:val="center"/>
            </w:pPr>
            <w:r/>
            <w:r>
              <w:rPr>
                <w:rFonts w:ascii="Times New Roman" w:hAnsi="Times New Roman"/>
                <w:sz w:val="14"/>
              </w:rPr>
              <w:t>2021</w:t>
            </w:r>
          </w:p>
        </w:tc>
        <w:tc>
          <w:tcPr>
            <w:tcW w:type="dxa" w:w="1040"/>
          </w:tcPr>
          <w:p>
            <w:pPr>
              <w:jc w:val="center"/>
            </w:pPr>
            <w:r/>
            <w:r>
              <w:rPr>
                <w:rFonts w:ascii="Times New Roman" w:hAnsi="Times New Roman"/>
                <w:sz w:val="14"/>
              </w:rPr>
              <w:t>71.2 (0.000)</w:t>
            </w:r>
          </w:p>
        </w:tc>
        <w:tc>
          <w:tcPr>
            <w:tcW w:type="dxa" w:w="1040"/>
          </w:tcPr>
          <w:p>
            <w:pPr>
              <w:jc w:val="center"/>
            </w:pPr>
            <w:r/>
            <w:r>
              <w:rPr>
                <w:rFonts w:ascii="Times New Roman" w:hAnsi="Times New Roman"/>
                <w:sz w:val="14"/>
              </w:rPr>
              <w:t>-29.6 (0.188)</w:t>
            </w:r>
          </w:p>
        </w:tc>
        <w:tc>
          <w:tcPr>
            <w:tcW w:type="dxa" w:w="1040"/>
          </w:tcPr>
          <w:p>
            <w:pPr>
              <w:jc w:val="center"/>
            </w:pPr>
            <w:r/>
            <w:r>
              <w:rPr>
                <w:rFonts w:ascii="Times New Roman" w:hAnsi="Times New Roman"/>
                <w:sz w:val="14"/>
              </w:rPr>
              <w:t>-7.8 (0.533)</w:t>
            </w:r>
          </w:p>
        </w:tc>
        <w:tc>
          <w:tcPr>
            <w:tcW w:type="dxa" w:w="1040"/>
          </w:tcPr>
          <w:p>
            <w:pPr>
              <w:jc w:val="center"/>
            </w:pPr>
            <w:r/>
            <w:r>
              <w:rPr>
                <w:rFonts w:ascii="Times New Roman" w:hAnsi="Times New Roman"/>
                <w:sz w:val="14"/>
              </w:rPr>
              <w:t>23.9 (0.679)</w:t>
            </w:r>
          </w:p>
        </w:tc>
      </w:tr>
      <w:tr>
        <w:tc>
          <w:tcPr>
            <w:tcW w:type="dxa" w:w="1040"/>
          </w:tcPr>
          <w:p>
            <w:r/>
            <w:r>
              <w:rPr>
                <w:rFonts w:ascii="Times New Roman" w:hAnsi="Times New Roman"/>
                <w:sz w:val="14"/>
              </w:rPr>
              <w:t>Urology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0.998</w:t>
            </w:r>
          </w:p>
        </w:tc>
        <w:tc>
          <w:tcPr>
            <w:tcW w:type="dxa" w:w="1040"/>
          </w:tcPr>
          <w:p>
            <w:pPr>
              <w:jc w:val="center"/>
            </w:pPr>
            <w:r/>
            <w:r>
              <w:rPr>
                <w:rFonts w:ascii="Times New Roman" w:hAnsi="Times New Roman"/>
                <w:sz w:val="14"/>
              </w:rPr>
              <w:t>2021</w:t>
            </w:r>
          </w:p>
        </w:tc>
        <w:tc>
          <w:tcPr>
            <w:tcW w:type="dxa" w:w="1040"/>
          </w:tcPr>
          <w:p>
            <w:pPr>
              <w:jc w:val="center"/>
            </w:pPr>
            <w:r/>
            <w:r>
              <w:rPr>
                <w:rFonts w:ascii="Times New Roman" w:hAnsi="Times New Roman"/>
                <w:sz w:val="14"/>
              </w:rPr>
              <w:t>-5.1 (0.000)</w:t>
            </w:r>
          </w:p>
        </w:tc>
        <w:tc>
          <w:tcPr>
            <w:tcW w:type="dxa" w:w="1040"/>
          </w:tcPr>
          <w:p>
            <w:pPr>
              <w:jc w:val="center"/>
            </w:pPr>
            <w:r/>
            <w:r>
              <w:rPr>
                <w:rFonts w:ascii="Times New Roman" w:hAnsi="Times New Roman"/>
                <w:sz w:val="14"/>
              </w:rPr>
              <w:t>4.5 (0.009)</w:t>
            </w:r>
          </w:p>
        </w:tc>
        <w:tc>
          <w:tcPr>
            <w:tcW w:type="dxa" w:w="1040"/>
          </w:tcPr>
          <w:p>
            <w:pPr>
              <w:jc w:val="center"/>
            </w:pPr>
            <w:r/>
            <w:r>
              <w:rPr>
                <w:rFonts w:ascii="Times New Roman" w:hAnsi="Times New Roman"/>
                <w:sz w:val="14"/>
              </w:rPr>
              <w:t>2.3 (0.018)</w:t>
            </w:r>
          </w:p>
        </w:tc>
        <w:tc>
          <w:tcPr>
            <w:tcW w:type="dxa" w:w="1040"/>
          </w:tcPr>
          <w:p>
            <w:pPr>
              <w:jc w:val="center"/>
            </w:pPr>
            <w:r/>
            <w:r>
              <w:rPr>
                <w:rFonts w:ascii="Times New Roman" w:hAnsi="Times New Roman"/>
                <w:sz w:val="14"/>
              </w:rPr>
              <w:t>-11.7 (0.013)</w:t>
            </w:r>
          </w:p>
        </w:tc>
      </w:tr>
      <w:tr>
        <w:tc>
          <w:tcPr>
            <w:tcW w:type="dxa" w:w="1040"/>
          </w:tcPr>
          <w:p>
            <w:r/>
            <w:r>
              <w:rPr>
                <w:rFonts w:ascii="Times New Roman" w:hAnsi="Times New Roman"/>
                <w:sz w:val="14"/>
              </w:rPr>
              <w:t>Dermatology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2022</w:t>
            </w:r>
          </w:p>
        </w:tc>
        <w:tc>
          <w:tcPr>
            <w:tcW w:type="dxa" w:w="1040"/>
          </w:tcPr>
          <w:p>
            <w:pPr>
              <w:jc w:val="center"/>
            </w:pPr>
            <w:r/>
            <w:r>
              <w:rPr>
                <w:rFonts w:ascii="Times New Roman" w:hAnsi="Times New Roman"/>
                <w:sz w:val="14"/>
              </w:rPr>
              <w:t>117.0 (0.000)</w:t>
            </w:r>
          </w:p>
        </w:tc>
        <w:tc>
          <w:tcPr>
            <w:tcW w:type="dxa" w:w="1040"/>
          </w:tcPr>
          <w:p>
            <w:pPr>
              <w:jc w:val="center"/>
            </w:pPr>
            <w:r/>
            <w:r>
              <w:rPr>
                <w:rFonts w:ascii="Times New Roman" w:hAnsi="Times New Roman"/>
                <w:sz w:val="14"/>
              </w:rPr>
              <w:t>4.7 (0.679)</w:t>
            </w:r>
          </w:p>
        </w:tc>
        <w:tc>
          <w:tcPr>
            <w:tcW w:type="dxa" w:w="1040"/>
          </w:tcPr>
          <w:p>
            <w:pPr>
              <w:jc w:val="center"/>
            </w:pPr>
            <w:r/>
            <w:r>
              <w:rPr>
                <w:rFonts w:ascii="Times New Roman" w:hAnsi="Times New Roman"/>
                <w:sz w:val="14"/>
              </w:rPr>
              <w:t>8.4 (0.484)</w:t>
            </w:r>
          </w:p>
        </w:tc>
        <w:tc>
          <w:tcPr>
            <w:tcW w:type="dxa" w:w="1040"/>
          </w:tcPr>
          <w:p>
            <w:pPr>
              <w:jc w:val="center"/>
            </w:pPr>
            <w:r/>
            <w:r>
              <w:rPr>
                <w:rFonts w:ascii="Times New Roman" w:hAnsi="Times New Roman"/>
                <w:sz w:val="14"/>
              </w:rPr>
              <w:t>4.0 (0.847)</w:t>
            </w:r>
          </w:p>
        </w:tc>
      </w:tr>
      <w:tr>
        <w:tc>
          <w:tcPr>
            <w:tcW w:type="dxa" w:w="1040"/>
          </w:tcPr>
          <w:p>
            <w:r/>
            <w:r>
              <w:rPr>
                <w:rFonts w:ascii="Times New Roman" w:hAnsi="Times New Roman"/>
                <w:sz w:val="14"/>
              </w:rPr>
              <w:t>Dermatology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2022</w:t>
            </w:r>
          </w:p>
        </w:tc>
        <w:tc>
          <w:tcPr>
            <w:tcW w:type="dxa" w:w="1040"/>
          </w:tcPr>
          <w:p>
            <w:pPr>
              <w:jc w:val="center"/>
            </w:pPr>
            <w:r/>
            <w:r>
              <w:rPr>
                <w:rFonts w:ascii="Times New Roman" w:hAnsi="Times New Roman"/>
                <w:sz w:val="14"/>
              </w:rPr>
              <w:t>50.0 (0.000)</w:t>
            </w:r>
          </w:p>
        </w:tc>
        <w:tc>
          <w:tcPr>
            <w:tcW w:type="dxa" w:w="1040"/>
          </w:tcPr>
          <w:p>
            <w:pPr>
              <w:jc w:val="center"/>
            </w:pPr>
            <w:r/>
            <w:r>
              <w:rPr>
                <w:rFonts w:ascii="Times New Roman" w:hAnsi="Times New Roman"/>
                <w:sz w:val="14"/>
              </w:rPr>
              <w:t>0.0 (0.867)</w:t>
            </w:r>
          </w:p>
        </w:tc>
        <w:tc>
          <w:tcPr>
            <w:tcW w:type="dxa" w:w="1040"/>
          </w:tcPr>
          <w:p>
            <w:pPr>
              <w:jc w:val="center"/>
            </w:pPr>
            <w:r/>
            <w:r>
              <w:rPr>
                <w:rFonts w:ascii="Times New Roman" w:hAnsi="Times New Roman"/>
                <w:sz w:val="14"/>
              </w:rPr>
              <w:t>0.0 (0.586)</w:t>
            </w:r>
          </w:p>
        </w:tc>
        <w:tc>
          <w:tcPr>
            <w:tcW w:type="dxa" w:w="1040"/>
          </w:tcPr>
          <w:p>
            <w:pPr>
              <w:jc w:val="center"/>
            </w:pPr>
            <w:r/>
            <w:r>
              <w:rPr>
                <w:rFonts w:ascii="Times New Roman" w:hAnsi="Times New Roman"/>
                <w:sz w:val="14"/>
              </w:rPr>
              <w:t>0.0 (0.873)</w:t>
            </w:r>
          </w:p>
        </w:tc>
      </w:tr>
      <w:tr>
        <w:tc>
          <w:tcPr>
            <w:tcW w:type="dxa" w:w="1040"/>
          </w:tcPr>
          <w:p>
            <w:r/>
            <w:r>
              <w:rPr>
                <w:rFonts w:ascii="Times New Roman" w:hAnsi="Times New Roman"/>
                <w:sz w:val="14"/>
              </w:rPr>
              <w:t>Anaesthesiology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2020</w:t>
            </w:r>
          </w:p>
        </w:tc>
        <w:tc>
          <w:tcPr>
            <w:tcW w:type="dxa" w:w="1040"/>
          </w:tcPr>
          <w:p>
            <w:pPr>
              <w:jc w:val="center"/>
            </w:pPr>
            <w:r/>
            <w:r>
              <w:rPr>
                <w:rFonts w:ascii="Times New Roman" w:hAnsi="Times New Roman"/>
                <w:sz w:val="14"/>
              </w:rPr>
              <w:t>187.5 (0.000)</w:t>
            </w:r>
          </w:p>
        </w:tc>
        <w:tc>
          <w:tcPr>
            <w:tcW w:type="dxa" w:w="1040"/>
          </w:tcPr>
          <w:p>
            <w:pPr>
              <w:jc w:val="center"/>
            </w:pPr>
            <w:r/>
            <w:r>
              <w:rPr>
                <w:rFonts w:ascii="Times New Roman" w:hAnsi="Times New Roman"/>
                <w:sz w:val="14"/>
              </w:rPr>
              <w:t>-29.4 (0.080)</w:t>
            </w:r>
          </w:p>
        </w:tc>
        <w:tc>
          <w:tcPr>
            <w:tcW w:type="dxa" w:w="1040"/>
          </w:tcPr>
          <w:p>
            <w:pPr>
              <w:jc w:val="center"/>
            </w:pPr>
            <w:r/>
            <w:r>
              <w:rPr>
                <w:rFonts w:ascii="Times New Roman" w:hAnsi="Times New Roman"/>
                <w:sz w:val="14"/>
              </w:rPr>
              <w:t>-1.1 (0.875)</w:t>
            </w:r>
          </w:p>
        </w:tc>
        <w:tc>
          <w:tcPr>
            <w:tcW w:type="dxa" w:w="1040"/>
          </w:tcPr>
          <w:p>
            <w:pPr>
              <w:jc w:val="center"/>
            </w:pPr>
            <w:r/>
            <w:r>
              <w:rPr>
                <w:rFonts w:ascii="Times New Roman" w:hAnsi="Times New Roman"/>
                <w:sz w:val="14"/>
              </w:rPr>
              <w:t>47.5 (0.082)</w:t>
            </w:r>
          </w:p>
        </w:tc>
      </w:tr>
      <w:tr>
        <w:tc>
          <w:tcPr>
            <w:tcW w:type="dxa" w:w="1040"/>
          </w:tcPr>
          <w:p>
            <w:r/>
            <w:r>
              <w:rPr>
                <w:rFonts w:ascii="Times New Roman" w:hAnsi="Times New Roman"/>
                <w:sz w:val="14"/>
              </w:rPr>
              <w:t>Anaesthesiology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2020</w:t>
            </w:r>
          </w:p>
        </w:tc>
        <w:tc>
          <w:tcPr>
            <w:tcW w:type="dxa" w:w="1040"/>
          </w:tcPr>
          <w:p>
            <w:pPr>
              <w:jc w:val="center"/>
            </w:pPr>
            <w:r/>
            <w:r>
              <w:rPr>
                <w:rFonts w:ascii="Times New Roman" w:hAnsi="Times New Roman"/>
                <w:sz w:val="14"/>
              </w:rPr>
              <w:t>68.1 (0.000)</w:t>
            </w:r>
          </w:p>
        </w:tc>
        <w:tc>
          <w:tcPr>
            <w:tcW w:type="dxa" w:w="1040"/>
          </w:tcPr>
          <w:p>
            <w:pPr>
              <w:jc w:val="center"/>
            </w:pPr>
            <w:r/>
            <w:r>
              <w:rPr>
                <w:rFonts w:ascii="Times New Roman" w:hAnsi="Times New Roman"/>
                <w:sz w:val="14"/>
              </w:rPr>
              <w:t>1.2 (0.638)</w:t>
            </w:r>
          </w:p>
        </w:tc>
        <w:tc>
          <w:tcPr>
            <w:tcW w:type="dxa" w:w="1040"/>
          </w:tcPr>
          <w:p>
            <w:pPr>
              <w:jc w:val="center"/>
            </w:pPr>
            <w:r/>
            <w:r>
              <w:rPr>
                <w:rFonts w:ascii="Times New Roman" w:hAnsi="Times New Roman"/>
                <w:sz w:val="14"/>
              </w:rPr>
              <w:t>8.5 (0.002)</w:t>
            </w:r>
          </w:p>
        </w:tc>
        <w:tc>
          <w:tcPr>
            <w:tcW w:type="dxa" w:w="1040"/>
          </w:tcPr>
          <w:p>
            <w:pPr>
              <w:jc w:val="center"/>
            </w:pPr>
            <w:r/>
            <w:r>
              <w:rPr>
                <w:rFonts w:ascii="Times New Roman" w:hAnsi="Times New Roman"/>
                <w:sz w:val="14"/>
              </w:rPr>
              <w:t>5.1 (0.253)</w:t>
            </w:r>
          </w:p>
        </w:tc>
      </w:tr>
    </w:tbl>
    <w:p/>
    <w:p>
      <w:r>
        <w:br w:type="page"/>
      </w:r>
    </w:p>
    <w:p>
      <w:pPr>
        <w:pStyle w:val="Heading2"/>
      </w:pPr>
      <w:r>
        <w:rPr>
          <w:rFonts w:ascii="Times New Roman" w:hAnsi="Times New Roman"/>
          <w:color w:val="000000"/>
        </w:rPr>
        <w:t>Supplementary Table S3. Cross-Correlation Coefficients at Optimal Lag for All Specialty-Definition-Outcome Combinations</w:t>
      </w:r>
    </w:p>
    <w:p>
      <w:pPr>
        <w:spacing w:after="240" w:line="480" w:lineRule="auto"/>
      </w:pPr>
      <w:r>
        <w:rPr>
          <w:rFonts w:ascii="Times New Roman" w:hAnsi="Times New Roman"/>
          <w:b w:val="0"/>
          <w:i/>
          <w:sz w:val="24"/>
        </w:rPr>
        <w:t>Pearson correlation coefficients computed after linear detrending of both series. Lag = years by which the incident series is shifted relative to the outcome series; positive lag means incidents precede outcome changes.</w:t>
      </w:r>
    </w:p>
    <w:p>
      <w:pPr>
        <w:spacing w:after="120" w:line="480" w:lineRule="auto"/>
      </w:pPr>
      <w:r>
        <w:rPr>
          <w:rFonts w:ascii="Times New Roman" w:hAnsi="Times New Roman"/>
          <w:b/>
          <w:sz w:val="20"/>
        </w:rPr>
        <w:t>Supplementary Table S3. Cross-correlation coefficients at optimal lag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sz w:val="18"/>
              </w:rPr>
              <w:t>Specialty</w:t>
            </w:r>
          </w:p>
        </w:tc>
        <w:tc>
          <w:tcPr>
            <w:tcW w:type="dxa" w:w="1872"/>
          </w:tcPr>
          <w:p>
            <w:pPr>
              <w:jc w:val="center"/>
            </w:pPr>
            <w:r/>
            <w:r>
              <w:rPr>
                <w:rFonts w:ascii="Times New Roman" w:hAnsi="Times New Roman"/>
                <w:b/>
                <w:sz w:val="18"/>
              </w:rPr>
              <w:t>Definition</w:t>
            </w:r>
          </w:p>
        </w:tc>
        <w:tc>
          <w:tcPr>
            <w:tcW w:type="dxa" w:w="1872"/>
          </w:tcPr>
          <w:p>
            <w:pPr>
              <w:jc w:val="center"/>
            </w:pPr>
            <w:r/>
            <w:r>
              <w:rPr>
                <w:rFonts w:ascii="Times New Roman" w:hAnsi="Times New Roman"/>
                <w:b/>
                <w:sz w:val="18"/>
              </w:rPr>
              <w:t>Outcome</w:t>
            </w:r>
          </w:p>
        </w:tc>
        <w:tc>
          <w:tcPr>
            <w:tcW w:type="dxa" w:w="1872"/>
          </w:tcPr>
          <w:p>
            <w:pPr>
              <w:jc w:val="center"/>
            </w:pPr>
            <w:r/>
            <w:r>
              <w:rPr>
                <w:rFonts w:ascii="Times New Roman" w:hAnsi="Times New Roman"/>
                <w:b/>
                <w:sz w:val="18"/>
              </w:rPr>
              <w:t>Lag (years)</w:t>
            </w:r>
          </w:p>
        </w:tc>
        <w:tc>
          <w:tcPr>
            <w:tcW w:type="dxa" w:w="1872"/>
          </w:tcPr>
          <w:p>
            <w:pPr>
              <w:jc w:val="center"/>
            </w:pPr>
            <w:r/>
            <w:r>
              <w:rPr>
                <w:rFonts w:ascii="Times New Roman" w:hAnsi="Times New Roman"/>
                <w:b/>
                <w:sz w:val="18"/>
              </w:rPr>
              <w:t>Correlation (r)</w:t>
            </w:r>
          </w:p>
        </w:tc>
      </w:tr>
      <w:tr>
        <w:tc>
          <w:tcPr>
            <w:tcW w:type="dxa" w:w="1872"/>
          </w:tcPr>
          <w:p>
            <w:r/>
            <w:r>
              <w:rPr>
                <w:rFonts w:ascii="Times New Roman" w:hAnsi="Times New Roman"/>
                <w:sz w:val="18"/>
              </w:rPr>
              <w:t>Internal medicine</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-0.710</w:t>
            </w:r>
          </w:p>
        </w:tc>
      </w:tr>
      <w:tr>
        <w:tc>
          <w:tcPr>
            <w:tcW w:type="dxa" w:w="1872"/>
          </w:tcPr>
          <w:p>
            <w:r/>
            <w:r>
              <w:rPr>
                <w:rFonts w:ascii="Times New Roman" w:hAnsi="Times New Roman"/>
                <w:sz w:val="18"/>
              </w:rPr>
              <w:t>Internal medicine</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-0.744</w:t>
            </w:r>
          </w:p>
        </w:tc>
      </w:tr>
      <w:tr>
        <w:tc>
          <w:tcPr>
            <w:tcW w:type="dxa" w:w="1872"/>
          </w:tcPr>
          <w:p>
            <w:r/>
            <w:r>
              <w:rPr>
                <w:rFonts w:ascii="Times New Roman" w:hAnsi="Times New Roman"/>
                <w:sz w:val="18"/>
              </w:rPr>
              <w:t>Internal medicine</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-0.819</w:t>
            </w:r>
          </w:p>
        </w:tc>
      </w:tr>
      <w:tr>
        <w:tc>
          <w:tcPr>
            <w:tcW w:type="dxa" w:w="1872"/>
          </w:tcPr>
          <w:p>
            <w:r/>
            <w:r>
              <w:rPr>
                <w:rFonts w:ascii="Times New Roman" w:hAnsi="Times New Roman"/>
                <w:sz w:val="18"/>
              </w:rPr>
              <w:t>Internal medicine</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7</w:t>
            </w:r>
          </w:p>
        </w:tc>
        <w:tc>
          <w:tcPr>
            <w:tcW w:type="dxa" w:w="1872"/>
          </w:tcPr>
          <w:p>
            <w:pPr>
              <w:jc w:val="center"/>
            </w:pPr>
            <w:r/>
            <w:r>
              <w:rPr>
                <w:rFonts w:ascii="Times New Roman" w:hAnsi="Times New Roman"/>
                <w:sz w:val="18"/>
              </w:rPr>
              <w:t>-0.719</w:t>
            </w:r>
          </w:p>
        </w:tc>
      </w:tr>
      <w:tr>
        <w:tc>
          <w:tcPr>
            <w:tcW w:type="dxa" w:w="1872"/>
          </w:tcPr>
          <w:p>
            <w:r/>
            <w:r>
              <w:rPr>
                <w:rFonts w:ascii="Times New Roman" w:hAnsi="Times New Roman"/>
                <w:sz w:val="18"/>
              </w:rPr>
              <w:t>General surgery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-0.790</w:t>
            </w:r>
          </w:p>
        </w:tc>
      </w:tr>
      <w:tr>
        <w:tc>
          <w:tcPr>
            <w:tcW w:type="dxa" w:w="1872"/>
          </w:tcPr>
          <w:p>
            <w:r/>
            <w:r>
              <w:rPr>
                <w:rFonts w:ascii="Times New Roman" w:hAnsi="Times New Roman"/>
                <w:sz w:val="18"/>
              </w:rPr>
              <w:t>General surgery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-0.844</w:t>
            </w:r>
          </w:p>
        </w:tc>
      </w:tr>
      <w:tr>
        <w:tc>
          <w:tcPr>
            <w:tcW w:type="dxa" w:w="1872"/>
          </w:tcPr>
          <w:p>
            <w:r/>
            <w:r>
              <w:rPr>
                <w:rFonts w:ascii="Times New Roman" w:hAnsi="Times New Roman"/>
                <w:sz w:val="18"/>
              </w:rPr>
              <w:t>General surgery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-0.675</w:t>
            </w:r>
          </w:p>
        </w:tc>
      </w:tr>
      <w:tr>
        <w:tc>
          <w:tcPr>
            <w:tcW w:type="dxa" w:w="1872"/>
          </w:tcPr>
          <w:p>
            <w:r/>
            <w:r>
              <w:rPr>
                <w:rFonts w:ascii="Times New Roman" w:hAnsi="Times New Roman"/>
                <w:sz w:val="18"/>
              </w:rPr>
              <w:t>General surgery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-0.657</w:t>
            </w:r>
          </w:p>
        </w:tc>
      </w:tr>
      <w:tr>
        <w:tc>
          <w:tcPr>
            <w:tcW w:type="dxa" w:w="1872"/>
          </w:tcPr>
          <w:p>
            <w:r/>
            <w:r>
              <w:rPr>
                <w:rFonts w:ascii="Times New Roman" w:hAnsi="Times New Roman"/>
                <w:sz w:val="18"/>
              </w:rPr>
              <w:t>Orthopaedic surgery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-0.853</w:t>
            </w:r>
          </w:p>
        </w:tc>
      </w:tr>
      <w:tr>
        <w:tc>
          <w:tcPr>
            <w:tcW w:type="dxa" w:w="1872"/>
          </w:tcPr>
          <w:p>
            <w:r/>
            <w:r>
              <w:rPr>
                <w:rFonts w:ascii="Times New Roman" w:hAnsi="Times New Roman"/>
                <w:sz w:val="18"/>
              </w:rPr>
              <w:t>Orthopaedic surgery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0</w:t>
            </w:r>
          </w:p>
        </w:tc>
        <w:tc>
          <w:tcPr>
            <w:tcW w:type="dxa" w:w="1872"/>
          </w:tcPr>
          <w:p>
            <w:pPr>
              <w:jc w:val="center"/>
            </w:pPr>
            <w:r/>
            <w:r>
              <w:rPr>
                <w:rFonts w:ascii="Times New Roman" w:hAnsi="Times New Roman"/>
                <w:sz w:val="18"/>
              </w:rPr>
              <w:t>-0.592</w:t>
            </w:r>
          </w:p>
        </w:tc>
      </w:tr>
      <w:tr>
        <w:tc>
          <w:tcPr>
            <w:tcW w:type="dxa" w:w="1872"/>
          </w:tcPr>
          <w:p>
            <w:r/>
            <w:r>
              <w:rPr>
                <w:rFonts w:ascii="Times New Roman" w:hAnsi="Times New Roman"/>
                <w:sz w:val="18"/>
              </w:rPr>
              <w:t>Orthopaedic surgery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-0.731</w:t>
            </w:r>
          </w:p>
        </w:tc>
      </w:tr>
      <w:tr>
        <w:tc>
          <w:tcPr>
            <w:tcW w:type="dxa" w:w="1872"/>
          </w:tcPr>
          <w:p>
            <w:r/>
            <w:r>
              <w:rPr>
                <w:rFonts w:ascii="Times New Roman" w:hAnsi="Times New Roman"/>
                <w:sz w:val="18"/>
              </w:rPr>
              <w:t>Orthopaedic surgery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-0.808</w:t>
            </w:r>
          </w:p>
        </w:tc>
      </w:tr>
      <w:tr>
        <w:tc>
          <w:tcPr>
            <w:tcW w:type="dxa" w:w="1872"/>
          </w:tcPr>
          <w:p>
            <w:r/>
            <w:r>
              <w:rPr>
                <w:rFonts w:ascii="Times New Roman" w:hAnsi="Times New Roman"/>
                <w:sz w:val="18"/>
              </w:rPr>
              <w:t>Plastic surgery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2</w:t>
            </w:r>
          </w:p>
        </w:tc>
        <w:tc>
          <w:tcPr>
            <w:tcW w:type="dxa" w:w="1872"/>
          </w:tcPr>
          <w:p>
            <w:pPr>
              <w:jc w:val="center"/>
            </w:pPr>
            <w:r/>
            <w:r>
              <w:rPr>
                <w:rFonts w:ascii="Times New Roman" w:hAnsi="Times New Roman"/>
                <w:sz w:val="18"/>
              </w:rPr>
              <w:t>-0.565</w:t>
            </w:r>
          </w:p>
        </w:tc>
      </w:tr>
      <w:tr>
        <w:tc>
          <w:tcPr>
            <w:tcW w:type="dxa" w:w="1872"/>
          </w:tcPr>
          <w:p>
            <w:r/>
            <w:r>
              <w:rPr>
                <w:rFonts w:ascii="Times New Roman" w:hAnsi="Times New Roman"/>
                <w:sz w:val="18"/>
              </w:rPr>
              <w:t>Plastic surgery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0</w:t>
            </w:r>
          </w:p>
        </w:tc>
        <w:tc>
          <w:tcPr>
            <w:tcW w:type="dxa" w:w="1872"/>
          </w:tcPr>
          <w:p>
            <w:pPr>
              <w:jc w:val="center"/>
            </w:pPr>
            <w:r/>
            <w:r>
              <w:rPr>
                <w:rFonts w:ascii="Times New Roman" w:hAnsi="Times New Roman"/>
                <w:sz w:val="18"/>
              </w:rPr>
              <w:t>-0.440</w:t>
            </w:r>
          </w:p>
        </w:tc>
      </w:tr>
      <w:tr>
        <w:tc>
          <w:tcPr>
            <w:tcW w:type="dxa" w:w="1872"/>
          </w:tcPr>
          <w:p>
            <w:r/>
            <w:r>
              <w:rPr>
                <w:rFonts w:ascii="Times New Roman" w:hAnsi="Times New Roman"/>
                <w:sz w:val="18"/>
              </w:rPr>
              <w:t>Plastic surgery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1</w:t>
            </w:r>
          </w:p>
        </w:tc>
        <w:tc>
          <w:tcPr>
            <w:tcW w:type="dxa" w:w="1872"/>
          </w:tcPr>
          <w:p>
            <w:pPr>
              <w:jc w:val="center"/>
            </w:pPr>
            <w:r/>
            <w:r>
              <w:rPr>
                <w:rFonts w:ascii="Times New Roman" w:hAnsi="Times New Roman"/>
                <w:sz w:val="18"/>
              </w:rPr>
              <w:t>-0.507</w:t>
            </w:r>
          </w:p>
        </w:tc>
      </w:tr>
      <w:tr>
        <w:tc>
          <w:tcPr>
            <w:tcW w:type="dxa" w:w="1872"/>
          </w:tcPr>
          <w:p>
            <w:r/>
            <w:r>
              <w:rPr>
                <w:rFonts w:ascii="Times New Roman" w:hAnsi="Times New Roman"/>
                <w:sz w:val="18"/>
              </w:rPr>
              <w:t>Plastic surgery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-0.880</w:t>
            </w:r>
          </w:p>
        </w:tc>
      </w:tr>
      <w:tr>
        <w:tc>
          <w:tcPr>
            <w:tcW w:type="dxa" w:w="1872"/>
          </w:tcPr>
          <w:p>
            <w:r/>
            <w:r>
              <w:rPr>
                <w:rFonts w:ascii="Times New Roman" w:hAnsi="Times New Roman"/>
                <w:sz w:val="18"/>
              </w:rPr>
              <w:t>Obstetrics &amp; gynaecology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-0.946</w:t>
            </w:r>
          </w:p>
        </w:tc>
      </w:tr>
      <w:tr>
        <w:tc>
          <w:tcPr>
            <w:tcW w:type="dxa" w:w="1872"/>
          </w:tcPr>
          <w:p>
            <w:r/>
            <w:r>
              <w:rPr>
                <w:rFonts w:ascii="Times New Roman" w:hAnsi="Times New Roman"/>
                <w:sz w:val="18"/>
              </w:rPr>
              <w:t>Obstetrics &amp; gynaecology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0</w:t>
            </w:r>
          </w:p>
        </w:tc>
        <w:tc>
          <w:tcPr>
            <w:tcW w:type="dxa" w:w="1872"/>
          </w:tcPr>
          <w:p>
            <w:pPr>
              <w:jc w:val="center"/>
            </w:pPr>
            <w:r/>
            <w:r>
              <w:rPr>
                <w:rFonts w:ascii="Times New Roman" w:hAnsi="Times New Roman"/>
                <w:sz w:val="18"/>
              </w:rPr>
              <w:t>-0.522</w:t>
            </w:r>
          </w:p>
        </w:tc>
      </w:tr>
      <w:tr>
        <w:tc>
          <w:tcPr>
            <w:tcW w:type="dxa" w:w="1872"/>
          </w:tcPr>
          <w:p>
            <w:r/>
            <w:r>
              <w:rPr>
                <w:rFonts w:ascii="Times New Roman" w:hAnsi="Times New Roman"/>
                <w:sz w:val="18"/>
              </w:rPr>
              <w:t>Obstetrics &amp; gynaecology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-0.702</w:t>
            </w:r>
          </w:p>
        </w:tc>
      </w:tr>
      <w:tr>
        <w:tc>
          <w:tcPr>
            <w:tcW w:type="dxa" w:w="1872"/>
          </w:tcPr>
          <w:p>
            <w:r/>
            <w:r>
              <w:rPr>
                <w:rFonts w:ascii="Times New Roman" w:hAnsi="Times New Roman"/>
                <w:sz w:val="18"/>
              </w:rPr>
              <w:t>Obstetrics &amp; gynaecology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-0.894</w:t>
            </w:r>
          </w:p>
        </w:tc>
      </w:tr>
      <w:tr>
        <w:tc>
          <w:tcPr>
            <w:tcW w:type="dxa" w:w="1872"/>
          </w:tcPr>
          <w:p>
            <w:r/>
            <w:r>
              <w:rPr>
                <w:rFonts w:ascii="Times New Roman" w:hAnsi="Times New Roman"/>
                <w:sz w:val="18"/>
              </w:rPr>
              <w:t>Paediatrics</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-0.838</w:t>
            </w:r>
          </w:p>
        </w:tc>
      </w:tr>
      <w:tr>
        <w:tc>
          <w:tcPr>
            <w:tcW w:type="dxa" w:w="1872"/>
          </w:tcPr>
          <w:p>
            <w:r/>
            <w:r>
              <w:rPr>
                <w:rFonts w:ascii="Times New Roman" w:hAnsi="Times New Roman"/>
                <w:sz w:val="18"/>
              </w:rPr>
              <w:t>Paediatrics</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-0.633</w:t>
            </w:r>
          </w:p>
        </w:tc>
      </w:tr>
      <w:tr>
        <w:tc>
          <w:tcPr>
            <w:tcW w:type="dxa" w:w="1872"/>
          </w:tcPr>
          <w:p>
            <w:r/>
            <w:r>
              <w:rPr>
                <w:rFonts w:ascii="Times New Roman" w:hAnsi="Times New Roman"/>
                <w:sz w:val="18"/>
              </w:rPr>
              <w:t>Paediatrics</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-0.894</w:t>
            </w:r>
          </w:p>
        </w:tc>
      </w:tr>
      <w:tr>
        <w:tc>
          <w:tcPr>
            <w:tcW w:type="dxa" w:w="1872"/>
          </w:tcPr>
          <w:p>
            <w:r/>
            <w:r>
              <w:rPr>
                <w:rFonts w:ascii="Times New Roman" w:hAnsi="Times New Roman"/>
                <w:sz w:val="18"/>
              </w:rPr>
              <w:t>Paediatrics</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-0.857</w:t>
            </w:r>
          </w:p>
        </w:tc>
      </w:tr>
      <w:tr>
        <w:tc>
          <w:tcPr>
            <w:tcW w:type="dxa" w:w="1872"/>
          </w:tcPr>
          <w:p>
            <w:r/>
            <w:r>
              <w:rPr>
                <w:rFonts w:ascii="Times New Roman" w:hAnsi="Times New Roman"/>
                <w:sz w:val="18"/>
              </w:rPr>
              <w:t>Psychiatry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-0.654</w:t>
            </w:r>
          </w:p>
        </w:tc>
      </w:tr>
      <w:tr>
        <w:tc>
          <w:tcPr>
            <w:tcW w:type="dxa" w:w="1872"/>
          </w:tcPr>
          <w:p>
            <w:r/>
            <w:r>
              <w:rPr>
                <w:rFonts w:ascii="Times New Roman" w:hAnsi="Times New Roman"/>
                <w:sz w:val="18"/>
              </w:rPr>
              <w:t>Psychiatry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w:t>
            </w:r>
          </w:p>
        </w:tc>
      </w:tr>
      <w:tr>
        <w:tc>
          <w:tcPr>
            <w:tcW w:type="dxa" w:w="1872"/>
          </w:tcPr>
          <w:p>
            <w:r/>
            <w:r>
              <w:rPr>
                <w:rFonts w:ascii="Times New Roman" w:hAnsi="Times New Roman"/>
                <w:sz w:val="18"/>
              </w:rPr>
              <w:t>Psychiatry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-0.625</w:t>
            </w:r>
          </w:p>
        </w:tc>
      </w:tr>
      <w:tr>
        <w:tc>
          <w:tcPr>
            <w:tcW w:type="dxa" w:w="1872"/>
          </w:tcPr>
          <w:p>
            <w:r/>
            <w:r>
              <w:rPr>
                <w:rFonts w:ascii="Times New Roman" w:hAnsi="Times New Roman"/>
                <w:sz w:val="18"/>
              </w:rPr>
              <w:t>Psychiatry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-0.981</w:t>
            </w:r>
          </w:p>
        </w:tc>
      </w:tr>
      <w:tr>
        <w:tc>
          <w:tcPr>
            <w:tcW w:type="dxa" w:w="1872"/>
          </w:tcPr>
          <w:p>
            <w:r/>
            <w:r>
              <w:rPr>
                <w:rFonts w:ascii="Times New Roman" w:hAnsi="Times New Roman"/>
                <w:sz w:val="18"/>
              </w:rPr>
              <w:t>Ophthalmology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-0.526</w:t>
            </w:r>
          </w:p>
        </w:tc>
      </w:tr>
      <w:tr>
        <w:tc>
          <w:tcPr>
            <w:tcW w:type="dxa" w:w="1872"/>
          </w:tcPr>
          <w:p>
            <w:r/>
            <w:r>
              <w:rPr>
                <w:rFonts w:ascii="Times New Roman" w:hAnsi="Times New Roman"/>
                <w:sz w:val="18"/>
              </w:rPr>
              <w:t>Ophthalmology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-5</w:t>
            </w:r>
          </w:p>
        </w:tc>
        <w:tc>
          <w:tcPr>
            <w:tcW w:type="dxa" w:w="1872"/>
          </w:tcPr>
          <w:p>
            <w:pPr>
              <w:jc w:val="center"/>
            </w:pPr>
            <w:r/>
            <w:r>
              <w:rPr>
                <w:rFonts w:ascii="Times New Roman" w:hAnsi="Times New Roman"/>
                <w:sz w:val="18"/>
              </w:rPr>
              <w:t>-0.500</w:t>
            </w:r>
          </w:p>
        </w:tc>
      </w:tr>
      <w:tr>
        <w:tc>
          <w:tcPr>
            <w:tcW w:type="dxa" w:w="1872"/>
          </w:tcPr>
          <w:p>
            <w:r/>
            <w:r>
              <w:rPr>
                <w:rFonts w:ascii="Times New Roman" w:hAnsi="Times New Roman"/>
                <w:sz w:val="18"/>
              </w:rPr>
              <w:t>Ophthalmology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4</w:t>
            </w:r>
          </w:p>
        </w:tc>
        <w:tc>
          <w:tcPr>
            <w:tcW w:type="dxa" w:w="1872"/>
          </w:tcPr>
          <w:p>
            <w:pPr>
              <w:jc w:val="center"/>
            </w:pPr>
            <w:r/>
            <w:r>
              <w:rPr>
                <w:rFonts w:ascii="Times New Roman" w:hAnsi="Times New Roman"/>
                <w:sz w:val="18"/>
              </w:rPr>
              <w:t>-0.758</w:t>
            </w:r>
          </w:p>
        </w:tc>
      </w:tr>
      <w:tr>
        <w:tc>
          <w:tcPr>
            <w:tcW w:type="dxa" w:w="1872"/>
          </w:tcPr>
          <w:p>
            <w:r/>
            <w:r>
              <w:rPr>
                <w:rFonts w:ascii="Times New Roman" w:hAnsi="Times New Roman"/>
                <w:sz w:val="18"/>
              </w:rPr>
              <w:t>Ophthalmology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-0.652</w:t>
            </w:r>
          </w:p>
        </w:tc>
      </w:tr>
      <w:tr>
        <w:tc>
          <w:tcPr>
            <w:tcW w:type="dxa" w:w="1872"/>
          </w:tcPr>
          <w:p>
            <w:r/>
            <w:r>
              <w:rPr>
                <w:rFonts w:ascii="Times New Roman" w:hAnsi="Times New Roman"/>
                <w:sz w:val="18"/>
              </w:rPr>
              <w:t>Otolaryngology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-1</w:t>
            </w:r>
          </w:p>
        </w:tc>
        <w:tc>
          <w:tcPr>
            <w:tcW w:type="dxa" w:w="1872"/>
          </w:tcPr>
          <w:p>
            <w:pPr>
              <w:jc w:val="center"/>
            </w:pPr>
            <w:r/>
            <w:r>
              <w:rPr>
                <w:rFonts w:ascii="Times New Roman" w:hAnsi="Times New Roman"/>
                <w:sz w:val="18"/>
              </w:rPr>
              <w:t>-0.409</w:t>
            </w:r>
          </w:p>
        </w:tc>
      </w:tr>
      <w:tr>
        <w:tc>
          <w:tcPr>
            <w:tcW w:type="dxa" w:w="1872"/>
          </w:tcPr>
          <w:p>
            <w:r/>
            <w:r>
              <w:rPr>
                <w:rFonts w:ascii="Times New Roman" w:hAnsi="Times New Roman"/>
                <w:sz w:val="18"/>
              </w:rPr>
              <w:t>Otolaryngology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1</w:t>
            </w:r>
          </w:p>
        </w:tc>
        <w:tc>
          <w:tcPr>
            <w:tcW w:type="dxa" w:w="1872"/>
          </w:tcPr>
          <w:p>
            <w:pPr>
              <w:jc w:val="center"/>
            </w:pPr>
            <w:r/>
            <w:r>
              <w:rPr>
                <w:rFonts w:ascii="Times New Roman" w:hAnsi="Times New Roman"/>
                <w:sz w:val="18"/>
              </w:rPr>
              <w:t>-0.728</w:t>
            </w:r>
          </w:p>
        </w:tc>
      </w:tr>
      <w:tr>
        <w:tc>
          <w:tcPr>
            <w:tcW w:type="dxa" w:w="1872"/>
          </w:tcPr>
          <w:p>
            <w:r/>
            <w:r>
              <w:rPr>
                <w:rFonts w:ascii="Times New Roman" w:hAnsi="Times New Roman"/>
                <w:sz w:val="18"/>
              </w:rPr>
              <w:t>Otolaryngology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-0.973</w:t>
            </w:r>
          </w:p>
        </w:tc>
      </w:tr>
      <w:tr>
        <w:tc>
          <w:tcPr>
            <w:tcW w:type="dxa" w:w="1872"/>
          </w:tcPr>
          <w:p>
            <w:r/>
            <w:r>
              <w:rPr>
                <w:rFonts w:ascii="Times New Roman" w:hAnsi="Times New Roman"/>
                <w:sz w:val="18"/>
              </w:rPr>
              <w:t>Otolaryngology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-5</w:t>
            </w:r>
          </w:p>
        </w:tc>
        <w:tc>
          <w:tcPr>
            <w:tcW w:type="dxa" w:w="1872"/>
          </w:tcPr>
          <w:p>
            <w:pPr>
              <w:jc w:val="center"/>
            </w:pPr>
            <w:r/>
            <w:r>
              <w:rPr>
                <w:rFonts w:ascii="Times New Roman" w:hAnsi="Times New Roman"/>
                <w:sz w:val="18"/>
              </w:rPr>
              <w:t>-0.543</w:t>
            </w:r>
          </w:p>
        </w:tc>
      </w:tr>
      <w:tr>
        <w:tc>
          <w:tcPr>
            <w:tcW w:type="dxa" w:w="1872"/>
          </w:tcPr>
          <w:p>
            <w:r/>
            <w:r>
              <w:rPr>
                <w:rFonts w:ascii="Times New Roman" w:hAnsi="Times New Roman"/>
                <w:sz w:val="18"/>
              </w:rPr>
              <w:t>Urology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-0.945</w:t>
            </w:r>
          </w:p>
        </w:tc>
      </w:tr>
      <w:tr>
        <w:tc>
          <w:tcPr>
            <w:tcW w:type="dxa" w:w="1872"/>
          </w:tcPr>
          <w:p>
            <w:r/>
            <w:r>
              <w:rPr>
                <w:rFonts w:ascii="Times New Roman" w:hAnsi="Times New Roman"/>
                <w:sz w:val="18"/>
              </w:rPr>
              <w:t>Urology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-0.875</w:t>
            </w:r>
          </w:p>
        </w:tc>
      </w:tr>
      <w:tr>
        <w:tc>
          <w:tcPr>
            <w:tcW w:type="dxa" w:w="1872"/>
          </w:tcPr>
          <w:p>
            <w:r/>
            <w:r>
              <w:rPr>
                <w:rFonts w:ascii="Times New Roman" w:hAnsi="Times New Roman"/>
                <w:sz w:val="18"/>
              </w:rPr>
              <w:t>Urology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4</w:t>
            </w:r>
          </w:p>
        </w:tc>
        <w:tc>
          <w:tcPr>
            <w:tcW w:type="dxa" w:w="1872"/>
          </w:tcPr>
          <w:p>
            <w:pPr>
              <w:jc w:val="center"/>
            </w:pPr>
            <w:r/>
            <w:r>
              <w:rPr>
                <w:rFonts w:ascii="Times New Roman" w:hAnsi="Times New Roman"/>
                <w:sz w:val="18"/>
              </w:rPr>
              <w:t>-0.590</w:t>
            </w:r>
          </w:p>
        </w:tc>
      </w:tr>
      <w:tr>
        <w:tc>
          <w:tcPr>
            <w:tcW w:type="dxa" w:w="1872"/>
          </w:tcPr>
          <w:p>
            <w:r/>
            <w:r>
              <w:rPr>
                <w:rFonts w:ascii="Times New Roman" w:hAnsi="Times New Roman"/>
                <w:sz w:val="18"/>
              </w:rPr>
              <w:t>Urology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-0.848</w:t>
            </w:r>
          </w:p>
        </w:tc>
      </w:tr>
      <w:tr>
        <w:tc>
          <w:tcPr>
            <w:tcW w:type="dxa" w:w="1872"/>
          </w:tcPr>
          <w:p>
            <w:r/>
            <w:r>
              <w:rPr>
                <w:rFonts w:ascii="Times New Roman" w:hAnsi="Times New Roman"/>
                <w:sz w:val="18"/>
              </w:rPr>
              <w:t>Dermatology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-4</w:t>
            </w:r>
          </w:p>
        </w:tc>
        <w:tc>
          <w:tcPr>
            <w:tcW w:type="dxa" w:w="1872"/>
          </w:tcPr>
          <w:p>
            <w:pPr>
              <w:jc w:val="center"/>
            </w:pPr>
            <w:r/>
            <w:r>
              <w:rPr>
                <w:rFonts w:ascii="Times New Roman" w:hAnsi="Times New Roman"/>
                <w:sz w:val="18"/>
              </w:rPr>
              <w:t>-0.581</w:t>
            </w:r>
          </w:p>
        </w:tc>
      </w:tr>
      <w:tr>
        <w:tc>
          <w:tcPr>
            <w:tcW w:type="dxa" w:w="1872"/>
          </w:tcPr>
          <w:p>
            <w:r/>
            <w:r>
              <w:rPr>
                <w:rFonts w:ascii="Times New Roman" w:hAnsi="Times New Roman"/>
                <w:sz w:val="18"/>
              </w:rPr>
              <w:t>Dermatology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w:t>
            </w:r>
          </w:p>
        </w:tc>
      </w:tr>
      <w:tr>
        <w:tc>
          <w:tcPr>
            <w:tcW w:type="dxa" w:w="1872"/>
          </w:tcPr>
          <w:p>
            <w:r/>
            <w:r>
              <w:rPr>
                <w:rFonts w:ascii="Times New Roman" w:hAnsi="Times New Roman"/>
                <w:sz w:val="18"/>
              </w:rPr>
              <w:t>Dermatology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7</w:t>
            </w:r>
          </w:p>
        </w:tc>
        <w:tc>
          <w:tcPr>
            <w:tcW w:type="dxa" w:w="1872"/>
          </w:tcPr>
          <w:p>
            <w:pPr>
              <w:jc w:val="center"/>
            </w:pPr>
            <w:r/>
            <w:r>
              <w:rPr>
                <w:rFonts w:ascii="Times New Roman" w:hAnsi="Times New Roman"/>
                <w:sz w:val="18"/>
              </w:rPr>
              <w:t>-0.988</w:t>
            </w:r>
          </w:p>
        </w:tc>
      </w:tr>
      <w:tr>
        <w:tc>
          <w:tcPr>
            <w:tcW w:type="dxa" w:w="1872"/>
          </w:tcPr>
          <w:p>
            <w:r/>
            <w:r>
              <w:rPr>
                <w:rFonts w:ascii="Times New Roman" w:hAnsi="Times New Roman"/>
                <w:sz w:val="18"/>
              </w:rPr>
              <w:t>Dermatology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-0.969</w:t>
            </w:r>
          </w:p>
        </w:tc>
      </w:tr>
      <w:tr>
        <w:tc>
          <w:tcPr>
            <w:tcW w:type="dxa" w:w="1872"/>
          </w:tcPr>
          <w:p>
            <w:r/>
            <w:r>
              <w:rPr>
                <w:rFonts w:ascii="Times New Roman" w:hAnsi="Times New Roman"/>
                <w:sz w:val="18"/>
              </w:rPr>
              <w:t>Anaesthesiology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5</w:t>
            </w:r>
          </w:p>
        </w:tc>
        <w:tc>
          <w:tcPr>
            <w:tcW w:type="dxa" w:w="1872"/>
          </w:tcPr>
          <w:p>
            <w:pPr>
              <w:jc w:val="center"/>
            </w:pPr>
            <w:r/>
            <w:r>
              <w:rPr>
                <w:rFonts w:ascii="Times New Roman" w:hAnsi="Times New Roman"/>
                <w:sz w:val="18"/>
              </w:rPr>
              <w:t>-0.794</w:t>
            </w:r>
          </w:p>
        </w:tc>
      </w:tr>
      <w:tr>
        <w:tc>
          <w:tcPr>
            <w:tcW w:type="dxa" w:w="1872"/>
          </w:tcPr>
          <w:p>
            <w:r/>
            <w:r>
              <w:rPr>
                <w:rFonts w:ascii="Times New Roman" w:hAnsi="Times New Roman"/>
                <w:sz w:val="18"/>
              </w:rPr>
              <w:t>Anaesthesiology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2</w:t>
            </w:r>
          </w:p>
        </w:tc>
        <w:tc>
          <w:tcPr>
            <w:tcW w:type="dxa" w:w="1872"/>
          </w:tcPr>
          <w:p>
            <w:pPr>
              <w:jc w:val="center"/>
            </w:pPr>
            <w:r/>
            <w:r>
              <w:rPr>
                <w:rFonts w:ascii="Times New Roman" w:hAnsi="Times New Roman"/>
                <w:sz w:val="18"/>
              </w:rPr>
              <w:t>-0.541</w:t>
            </w:r>
          </w:p>
        </w:tc>
      </w:tr>
      <w:tr>
        <w:tc>
          <w:tcPr>
            <w:tcW w:type="dxa" w:w="1872"/>
          </w:tcPr>
          <w:p>
            <w:r/>
            <w:r>
              <w:rPr>
                <w:rFonts w:ascii="Times New Roman" w:hAnsi="Times New Roman"/>
                <w:sz w:val="18"/>
              </w:rPr>
              <w:t>Anaesthesiology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-0.481</w:t>
            </w:r>
          </w:p>
        </w:tc>
      </w:tr>
      <w:tr>
        <w:tc>
          <w:tcPr>
            <w:tcW w:type="dxa" w:w="1872"/>
          </w:tcPr>
          <w:p>
            <w:r/>
            <w:r>
              <w:rPr>
                <w:rFonts w:ascii="Times New Roman" w:hAnsi="Times New Roman"/>
                <w:sz w:val="18"/>
              </w:rPr>
              <w:t>Anaesthesiology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-0.879</w:t>
            </w:r>
          </w:p>
        </w:tc>
      </w:tr>
      <w:tr>
        <w:tc>
          <w:tcPr>
            <w:tcW w:type="dxa" w:w="1872"/>
          </w:tcPr>
          <w:p>
            <w:r/>
            <w:r>
              <w:rPr>
                <w:rFonts w:ascii="Times New Roman" w:hAnsi="Times New Roman"/>
                <w:sz w:val="18"/>
              </w:rPr>
              <w:t>Internal medicine</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-5</w:t>
            </w:r>
          </w:p>
        </w:tc>
        <w:tc>
          <w:tcPr>
            <w:tcW w:type="dxa" w:w="1872"/>
          </w:tcPr>
          <w:p>
            <w:pPr>
              <w:jc w:val="center"/>
            </w:pPr>
            <w:r/>
            <w:r>
              <w:rPr>
                <w:rFonts w:ascii="Times New Roman" w:hAnsi="Times New Roman"/>
                <w:sz w:val="18"/>
              </w:rPr>
              <w:t>-0.404</w:t>
            </w:r>
          </w:p>
        </w:tc>
      </w:tr>
      <w:tr>
        <w:tc>
          <w:tcPr>
            <w:tcW w:type="dxa" w:w="1872"/>
          </w:tcPr>
          <w:p>
            <w:r/>
            <w:r>
              <w:rPr>
                <w:rFonts w:ascii="Times New Roman" w:hAnsi="Times New Roman"/>
                <w:sz w:val="18"/>
              </w:rPr>
              <w:t>Internal medicine</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0</w:t>
            </w:r>
          </w:p>
        </w:tc>
        <w:tc>
          <w:tcPr>
            <w:tcW w:type="dxa" w:w="1872"/>
          </w:tcPr>
          <w:p>
            <w:pPr>
              <w:jc w:val="center"/>
            </w:pPr>
            <w:r/>
            <w:r>
              <w:rPr>
                <w:rFonts w:ascii="Times New Roman" w:hAnsi="Times New Roman"/>
                <w:sz w:val="18"/>
              </w:rPr>
              <w:t>-0.425</w:t>
            </w:r>
          </w:p>
        </w:tc>
      </w:tr>
      <w:tr>
        <w:tc>
          <w:tcPr>
            <w:tcW w:type="dxa" w:w="1872"/>
          </w:tcPr>
          <w:p>
            <w:r/>
            <w:r>
              <w:rPr>
                <w:rFonts w:ascii="Times New Roman" w:hAnsi="Times New Roman"/>
                <w:sz w:val="18"/>
              </w:rPr>
              <w:t>General surgery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2</w:t>
            </w:r>
          </w:p>
        </w:tc>
        <w:tc>
          <w:tcPr>
            <w:tcW w:type="dxa" w:w="1872"/>
          </w:tcPr>
          <w:p>
            <w:pPr>
              <w:jc w:val="center"/>
            </w:pPr>
            <w:r/>
            <w:r>
              <w:rPr>
                <w:rFonts w:ascii="Times New Roman" w:hAnsi="Times New Roman"/>
                <w:sz w:val="18"/>
              </w:rPr>
              <w:t>-0.806</w:t>
            </w:r>
          </w:p>
        </w:tc>
      </w:tr>
      <w:tr>
        <w:tc>
          <w:tcPr>
            <w:tcW w:type="dxa" w:w="1872"/>
          </w:tcPr>
          <w:p>
            <w:r/>
            <w:r>
              <w:rPr>
                <w:rFonts w:ascii="Times New Roman" w:hAnsi="Times New Roman"/>
                <w:sz w:val="18"/>
              </w:rPr>
              <w:t>General surgery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2</w:t>
            </w:r>
          </w:p>
        </w:tc>
        <w:tc>
          <w:tcPr>
            <w:tcW w:type="dxa" w:w="1872"/>
          </w:tcPr>
          <w:p>
            <w:pPr>
              <w:jc w:val="center"/>
            </w:pPr>
            <w:r/>
            <w:r>
              <w:rPr>
                <w:rFonts w:ascii="Times New Roman" w:hAnsi="Times New Roman"/>
                <w:sz w:val="18"/>
              </w:rPr>
              <w:t>-0.802</w:t>
            </w:r>
          </w:p>
        </w:tc>
      </w:tr>
      <w:tr>
        <w:tc>
          <w:tcPr>
            <w:tcW w:type="dxa" w:w="1872"/>
          </w:tcPr>
          <w:p>
            <w:r/>
            <w:r>
              <w:rPr>
                <w:rFonts w:ascii="Times New Roman" w:hAnsi="Times New Roman"/>
                <w:sz w:val="18"/>
              </w:rPr>
              <w:t>Orthopaedic surgery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4</w:t>
            </w:r>
          </w:p>
        </w:tc>
        <w:tc>
          <w:tcPr>
            <w:tcW w:type="dxa" w:w="1872"/>
          </w:tcPr>
          <w:p>
            <w:pPr>
              <w:jc w:val="center"/>
            </w:pPr>
            <w:r/>
            <w:r>
              <w:rPr>
                <w:rFonts w:ascii="Times New Roman" w:hAnsi="Times New Roman"/>
                <w:sz w:val="18"/>
              </w:rPr>
              <w:t>-0.801</w:t>
            </w:r>
          </w:p>
        </w:tc>
      </w:tr>
      <w:tr>
        <w:tc>
          <w:tcPr>
            <w:tcW w:type="dxa" w:w="1872"/>
          </w:tcPr>
          <w:p>
            <w:r/>
            <w:r>
              <w:rPr>
                <w:rFonts w:ascii="Times New Roman" w:hAnsi="Times New Roman"/>
                <w:sz w:val="18"/>
              </w:rPr>
              <w:t>Orthopaedic surgery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-5</w:t>
            </w:r>
          </w:p>
        </w:tc>
        <w:tc>
          <w:tcPr>
            <w:tcW w:type="dxa" w:w="1872"/>
          </w:tcPr>
          <w:p>
            <w:pPr>
              <w:jc w:val="center"/>
            </w:pPr>
            <w:r/>
            <w:r>
              <w:rPr>
                <w:rFonts w:ascii="Times New Roman" w:hAnsi="Times New Roman"/>
                <w:sz w:val="18"/>
              </w:rPr>
              <w:t>-0.759</w:t>
            </w:r>
          </w:p>
        </w:tc>
      </w:tr>
      <w:tr>
        <w:tc>
          <w:tcPr>
            <w:tcW w:type="dxa" w:w="1872"/>
          </w:tcPr>
          <w:p>
            <w:r/>
            <w:r>
              <w:rPr>
                <w:rFonts w:ascii="Times New Roman" w:hAnsi="Times New Roman"/>
                <w:sz w:val="18"/>
              </w:rPr>
              <w:t>Plastic surgery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1</w:t>
            </w:r>
          </w:p>
        </w:tc>
        <w:tc>
          <w:tcPr>
            <w:tcW w:type="dxa" w:w="1872"/>
          </w:tcPr>
          <w:p>
            <w:pPr>
              <w:jc w:val="center"/>
            </w:pPr>
            <w:r/>
            <w:r>
              <w:rPr>
                <w:rFonts w:ascii="Times New Roman" w:hAnsi="Times New Roman"/>
                <w:sz w:val="18"/>
              </w:rPr>
              <w:t>-0.459</w:t>
            </w:r>
          </w:p>
        </w:tc>
      </w:tr>
      <w:tr>
        <w:tc>
          <w:tcPr>
            <w:tcW w:type="dxa" w:w="1872"/>
          </w:tcPr>
          <w:p>
            <w:r/>
            <w:r>
              <w:rPr>
                <w:rFonts w:ascii="Times New Roman" w:hAnsi="Times New Roman"/>
                <w:sz w:val="18"/>
              </w:rPr>
              <w:t>Plastic surgery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0</w:t>
            </w:r>
          </w:p>
        </w:tc>
        <w:tc>
          <w:tcPr>
            <w:tcW w:type="dxa" w:w="1872"/>
          </w:tcPr>
          <w:p>
            <w:pPr>
              <w:jc w:val="center"/>
            </w:pPr>
            <w:r/>
            <w:r>
              <w:rPr>
                <w:rFonts w:ascii="Times New Roman" w:hAnsi="Times New Roman"/>
                <w:sz w:val="18"/>
              </w:rPr>
              <w:t>-0.491</w:t>
            </w:r>
          </w:p>
        </w:tc>
      </w:tr>
      <w:tr>
        <w:tc>
          <w:tcPr>
            <w:tcW w:type="dxa" w:w="1872"/>
          </w:tcPr>
          <w:p>
            <w:r/>
            <w:r>
              <w:rPr>
                <w:rFonts w:ascii="Times New Roman" w:hAnsi="Times New Roman"/>
                <w:sz w:val="18"/>
              </w:rPr>
              <w:t>Obstetrics &amp; gynaecology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-0.947</w:t>
            </w:r>
          </w:p>
        </w:tc>
      </w:tr>
      <w:tr>
        <w:tc>
          <w:tcPr>
            <w:tcW w:type="dxa" w:w="1872"/>
          </w:tcPr>
          <w:p>
            <w:r/>
            <w:r>
              <w:rPr>
                <w:rFonts w:ascii="Times New Roman" w:hAnsi="Times New Roman"/>
                <w:sz w:val="18"/>
              </w:rPr>
              <w:t>Obstetrics &amp; gynaecology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1</w:t>
            </w:r>
          </w:p>
        </w:tc>
        <w:tc>
          <w:tcPr>
            <w:tcW w:type="dxa" w:w="1872"/>
          </w:tcPr>
          <w:p>
            <w:pPr>
              <w:jc w:val="center"/>
            </w:pPr>
            <w:r/>
            <w:r>
              <w:rPr>
                <w:rFonts w:ascii="Times New Roman" w:hAnsi="Times New Roman"/>
                <w:sz w:val="18"/>
              </w:rPr>
              <w:t>-0.603</w:t>
            </w:r>
          </w:p>
        </w:tc>
      </w:tr>
      <w:tr>
        <w:tc>
          <w:tcPr>
            <w:tcW w:type="dxa" w:w="1872"/>
          </w:tcPr>
          <w:p>
            <w:r/>
            <w:r>
              <w:rPr>
                <w:rFonts w:ascii="Times New Roman" w:hAnsi="Times New Roman"/>
                <w:sz w:val="18"/>
              </w:rPr>
              <w:t>Paediatrics</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-2</w:t>
            </w:r>
          </w:p>
        </w:tc>
        <w:tc>
          <w:tcPr>
            <w:tcW w:type="dxa" w:w="1872"/>
          </w:tcPr>
          <w:p>
            <w:pPr>
              <w:jc w:val="center"/>
            </w:pPr>
            <w:r/>
            <w:r>
              <w:rPr>
                <w:rFonts w:ascii="Times New Roman" w:hAnsi="Times New Roman"/>
                <w:sz w:val="18"/>
              </w:rPr>
              <w:t>-0.668</w:t>
            </w:r>
          </w:p>
        </w:tc>
      </w:tr>
      <w:tr>
        <w:tc>
          <w:tcPr>
            <w:tcW w:type="dxa" w:w="1872"/>
          </w:tcPr>
          <w:p>
            <w:r/>
            <w:r>
              <w:rPr>
                <w:rFonts w:ascii="Times New Roman" w:hAnsi="Times New Roman"/>
                <w:sz w:val="18"/>
              </w:rPr>
              <w:t>Paediatrics</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0</w:t>
            </w:r>
          </w:p>
        </w:tc>
        <w:tc>
          <w:tcPr>
            <w:tcW w:type="dxa" w:w="1872"/>
          </w:tcPr>
          <w:p>
            <w:pPr>
              <w:jc w:val="center"/>
            </w:pPr>
            <w:r/>
            <w:r>
              <w:rPr>
                <w:rFonts w:ascii="Times New Roman" w:hAnsi="Times New Roman"/>
                <w:sz w:val="18"/>
              </w:rPr>
              <w:t>-0.548</w:t>
            </w:r>
          </w:p>
        </w:tc>
      </w:tr>
      <w:tr>
        <w:tc>
          <w:tcPr>
            <w:tcW w:type="dxa" w:w="1872"/>
          </w:tcPr>
          <w:p>
            <w:r/>
            <w:r>
              <w:rPr>
                <w:rFonts w:ascii="Times New Roman" w:hAnsi="Times New Roman"/>
                <w:sz w:val="18"/>
              </w:rPr>
              <w:t>Psychiatry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-2</w:t>
            </w:r>
          </w:p>
        </w:tc>
        <w:tc>
          <w:tcPr>
            <w:tcW w:type="dxa" w:w="1872"/>
          </w:tcPr>
          <w:p>
            <w:pPr>
              <w:jc w:val="center"/>
            </w:pPr>
            <w:r/>
            <w:r>
              <w:rPr>
                <w:rFonts w:ascii="Times New Roman" w:hAnsi="Times New Roman"/>
                <w:sz w:val="18"/>
              </w:rPr>
              <w:t>-0.297</w:t>
            </w:r>
          </w:p>
        </w:tc>
      </w:tr>
      <w:tr>
        <w:tc>
          <w:tcPr>
            <w:tcW w:type="dxa" w:w="1872"/>
          </w:tcPr>
          <w:p>
            <w:r/>
            <w:r>
              <w:rPr>
                <w:rFonts w:ascii="Times New Roman" w:hAnsi="Times New Roman"/>
                <w:sz w:val="18"/>
              </w:rPr>
              <w:t>Psychiatry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5</w:t>
            </w:r>
          </w:p>
        </w:tc>
        <w:tc>
          <w:tcPr>
            <w:tcW w:type="dxa" w:w="1872"/>
          </w:tcPr>
          <w:p>
            <w:pPr>
              <w:jc w:val="center"/>
            </w:pPr>
            <w:r/>
            <w:r>
              <w:rPr>
                <w:rFonts w:ascii="Times New Roman" w:hAnsi="Times New Roman"/>
                <w:sz w:val="18"/>
              </w:rPr>
              <w:t>—</w:t>
            </w:r>
          </w:p>
        </w:tc>
      </w:tr>
      <w:tr>
        <w:tc>
          <w:tcPr>
            <w:tcW w:type="dxa" w:w="1872"/>
          </w:tcPr>
          <w:p>
            <w:r/>
            <w:r>
              <w:rPr>
                <w:rFonts w:ascii="Times New Roman" w:hAnsi="Times New Roman"/>
                <w:sz w:val="18"/>
              </w:rPr>
              <w:t>Ophthalmology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-5</w:t>
            </w:r>
          </w:p>
        </w:tc>
        <w:tc>
          <w:tcPr>
            <w:tcW w:type="dxa" w:w="1872"/>
          </w:tcPr>
          <w:p>
            <w:pPr>
              <w:jc w:val="center"/>
            </w:pPr>
            <w:r/>
            <w:r>
              <w:rPr>
                <w:rFonts w:ascii="Times New Roman" w:hAnsi="Times New Roman"/>
                <w:sz w:val="18"/>
              </w:rPr>
              <w:t>-0.794</w:t>
            </w:r>
          </w:p>
        </w:tc>
      </w:tr>
      <w:tr>
        <w:tc>
          <w:tcPr>
            <w:tcW w:type="dxa" w:w="1872"/>
          </w:tcPr>
          <w:p>
            <w:r/>
            <w:r>
              <w:rPr>
                <w:rFonts w:ascii="Times New Roman" w:hAnsi="Times New Roman"/>
                <w:sz w:val="18"/>
              </w:rPr>
              <w:t>Ophthalmology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0</w:t>
            </w:r>
          </w:p>
        </w:tc>
        <w:tc>
          <w:tcPr>
            <w:tcW w:type="dxa" w:w="1872"/>
          </w:tcPr>
          <w:p>
            <w:pPr>
              <w:jc w:val="center"/>
            </w:pPr>
            <w:r/>
            <w:r>
              <w:rPr>
                <w:rFonts w:ascii="Times New Roman" w:hAnsi="Times New Roman"/>
                <w:sz w:val="18"/>
              </w:rPr>
              <w:t>-0.330</w:t>
            </w:r>
          </w:p>
        </w:tc>
      </w:tr>
      <w:tr>
        <w:tc>
          <w:tcPr>
            <w:tcW w:type="dxa" w:w="1872"/>
          </w:tcPr>
          <w:p>
            <w:r/>
            <w:r>
              <w:rPr>
                <w:rFonts w:ascii="Times New Roman" w:hAnsi="Times New Roman"/>
                <w:sz w:val="18"/>
              </w:rPr>
              <w:t>Otolaryngology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2</w:t>
            </w:r>
          </w:p>
        </w:tc>
        <w:tc>
          <w:tcPr>
            <w:tcW w:type="dxa" w:w="1872"/>
          </w:tcPr>
          <w:p>
            <w:pPr>
              <w:jc w:val="center"/>
            </w:pPr>
            <w:r/>
            <w:r>
              <w:rPr>
                <w:rFonts w:ascii="Times New Roman" w:hAnsi="Times New Roman"/>
                <w:sz w:val="18"/>
              </w:rPr>
              <w:t>-0.659</w:t>
            </w:r>
          </w:p>
        </w:tc>
      </w:tr>
      <w:tr>
        <w:tc>
          <w:tcPr>
            <w:tcW w:type="dxa" w:w="1872"/>
          </w:tcPr>
          <w:p>
            <w:r/>
            <w:r>
              <w:rPr>
                <w:rFonts w:ascii="Times New Roman" w:hAnsi="Times New Roman"/>
                <w:sz w:val="18"/>
              </w:rPr>
              <w:t>Otolaryngology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0</w:t>
            </w:r>
          </w:p>
        </w:tc>
        <w:tc>
          <w:tcPr>
            <w:tcW w:type="dxa" w:w="1872"/>
          </w:tcPr>
          <w:p>
            <w:pPr>
              <w:jc w:val="center"/>
            </w:pPr>
            <w:r/>
            <w:r>
              <w:rPr>
                <w:rFonts w:ascii="Times New Roman" w:hAnsi="Times New Roman"/>
                <w:sz w:val="18"/>
              </w:rPr>
              <w:t>-0.495</w:t>
            </w:r>
          </w:p>
        </w:tc>
      </w:tr>
      <w:tr>
        <w:tc>
          <w:tcPr>
            <w:tcW w:type="dxa" w:w="1872"/>
          </w:tcPr>
          <w:p>
            <w:r/>
            <w:r>
              <w:rPr>
                <w:rFonts w:ascii="Times New Roman" w:hAnsi="Times New Roman"/>
                <w:sz w:val="18"/>
              </w:rPr>
              <w:t>Urology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4</w:t>
            </w:r>
          </w:p>
        </w:tc>
        <w:tc>
          <w:tcPr>
            <w:tcW w:type="dxa" w:w="1872"/>
          </w:tcPr>
          <w:p>
            <w:pPr>
              <w:jc w:val="center"/>
            </w:pPr>
            <w:r/>
            <w:r>
              <w:rPr>
                <w:rFonts w:ascii="Times New Roman" w:hAnsi="Times New Roman"/>
                <w:sz w:val="18"/>
              </w:rPr>
              <w:t>-0.662</w:t>
            </w:r>
          </w:p>
        </w:tc>
      </w:tr>
      <w:tr>
        <w:tc>
          <w:tcPr>
            <w:tcW w:type="dxa" w:w="1872"/>
          </w:tcPr>
          <w:p>
            <w:r/>
            <w:r>
              <w:rPr>
                <w:rFonts w:ascii="Times New Roman" w:hAnsi="Times New Roman"/>
                <w:sz w:val="18"/>
              </w:rPr>
              <w:t>Urology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0</w:t>
            </w:r>
          </w:p>
        </w:tc>
        <w:tc>
          <w:tcPr>
            <w:tcW w:type="dxa" w:w="1872"/>
          </w:tcPr>
          <w:p>
            <w:pPr>
              <w:jc w:val="center"/>
            </w:pPr>
            <w:r/>
            <w:r>
              <w:rPr>
                <w:rFonts w:ascii="Times New Roman" w:hAnsi="Times New Roman"/>
                <w:sz w:val="18"/>
              </w:rPr>
              <w:t>-0.640</w:t>
            </w:r>
          </w:p>
        </w:tc>
      </w:tr>
      <w:tr>
        <w:tc>
          <w:tcPr>
            <w:tcW w:type="dxa" w:w="1872"/>
          </w:tcPr>
          <w:p>
            <w:r/>
            <w:r>
              <w:rPr>
                <w:rFonts w:ascii="Times New Roman" w:hAnsi="Times New Roman"/>
                <w:sz w:val="18"/>
              </w:rPr>
              <w:t>Dermatology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-0.743</w:t>
            </w:r>
          </w:p>
        </w:tc>
      </w:tr>
      <w:tr>
        <w:tc>
          <w:tcPr>
            <w:tcW w:type="dxa" w:w="1872"/>
          </w:tcPr>
          <w:p>
            <w:r/>
            <w:r>
              <w:rPr>
                <w:rFonts w:ascii="Times New Roman" w:hAnsi="Times New Roman"/>
                <w:sz w:val="18"/>
              </w:rPr>
              <w:t>Dermatology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-5</w:t>
            </w:r>
          </w:p>
        </w:tc>
        <w:tc>
          <w:tcPr>
            <w:tcW w:type="dxa" w:w="1872"/>
          </w:tcPr>
          <w:p>
            <w:pPr>
              <w:jc w:val="center"/>
            </w:pPr>
            <w:r/>
            <w:r>
              <w:rPr>
                <w:rFonts w:ascii="Times New Roman" w:hAnsi="Times New Roman"/>
                <w:sz w:val="18"/>
              </w:rPr>
              <w:t>—</w:t>
            </w:r>
          </w:p>
        </w:tc>
      </w:tr>
      <w:tr>
        <w:tc>
          <w:tcPr>
            <w:tcW w:type="dxa" w:w="1872"/>
          </w:tcPr>
          <w:p>
            <w:r/>
            <w:r>
              <w:rPr>
                <w:rFonts w:ascii="Times New Roman" w:hAnsi="Times New Roman"/>
                <w:sz w:val="18"/>
              </w:rPr>
              <w:t>Anaesthesiology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-4</w:t>
            </w:r>
          </w:p>
        </w:tc>
        <w:tc>
          <w:tcPr>
            <w:tcW w:type="dxa" w:w="1872"/>
          </w:tcPr>
          <w:p>
            <w:pPr>
              <w:jc w:val="center"/>
            </w:pPr>
            <w:r/>
            <w:r>
              <w:rPr>
                <w:rFonts w:ascii="Times New Roman" w:hAnsi="Times New Roman"/>
                <w:sz w:val="18"/>
              </w:rPr>
              <w:t>-0.959</w:t>
            </w:r>
          </w:p>
        </w:tc>
      </w:tr>
      <w:tr>
        <w:tc>
          <w:tcPr>
            <w:tcW w:type="dxa" w:w="1872"/>
          </w:tcPr>
          <w:p>
            <w:r/>
            <w:r>
              <w:rPr>
                <w:rFonts w:ascii="Times New Roman" w:hAnsi="Times New Roman"/>
                <w:sz w:val="18"/>
              </w:rPr>
              <w:t>Anaesthesiology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1</w:t>
            </w:r>
          </w:p>
        </w:tc>
        <w:tc>
          <w:tcPr>
            <w:tcW w:type="dxa" w:w="1872"/>
          </w:tcPr>
          <w:p>
            <w:pPr>
              <w:jc w:val="center"/>
            </w:pPr>
            <w:r/>
            <w:r>
              <w:rPr>
                <w:rFonts w:ascii="Times New Roman" w:hAnsi="Times New Roman"/>
                <w:sz w:val="18"/>
              </w:rPr>
              <w:t>-0.663</w:t>
            </w:r>
          </w:p>
        </w:tc>
      </w:tr>
    </w:tbl>
    <w:p/>
    <w:p>
      <w:r>
        <w:br w:type="page"/>
      </w:r>
    </w:p>
    <w:p>
      <w:pPr>
        <w:pStyle w:val="Heading2"/>
      </w:pPr>
      <w:r>
        <w:rPr>
          <w:rFonts w:ascii="Times New Roman" w:hAnsi="Times New Roman"/>
          <w:color w:val="000000"/>
        </w:rPr>
        <w:t>Supplementary Table S4. AIC-Based Window Period Estimates for All Specialty-Definition-Outcome Combinations</w:t>
      </w:r>
    </w:p>
    <w:p>
      <w:pPr>
        <w:spacing w:after="240" w:line="480" w:lineRule="auto"/>
      </w:pPr>
      <w:r>
        <w:rPr>
          <w:rFonts w:ascii="Times New Roman" w:hAnsi="Times New Roman"/>
          <w:b w:val="0"/>
          <w:i/>
          <w:sz w:val="24"/>
        </w:rPr>
        <w:t>Window period = duration (years) of the binary intervention indicator yielding the lowest AIC in the segmented regression model.</w:t>
      </w:r>
    </w:p>
    <w:p>
      <w:pPr>
        <w:spacing w:after="120" w:line="480" w:lineRule="auto"/>
      </w:pPr>
      <w:r>
        <w:rPr>
          <w:rFonts w:ascii="Times New Roman" w:hAnsi="Times New Roman"/>
          <w:b/>
          <w:sz w:val="20"/>
        </w:rPr>
        <w:t>Supplementary Table S4. AIC-based window period estimates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rFonts w:ascii="Times New Roman" w:hAnsi="Times New Roman"/>
                <w:b/>
                <w:sz w:val="18"/>
              </w:rPr>
              <w:t>Specialty</w:t>
            </w:r>
          </w:p>
        </w:tc>
        <w:tc>
          <w:tcPr>
            <w:tcW w:type="dxa" w:w="2340"/>
          </w:tcPr>
          <w:p>
            <w:pPr>
              <w:jc w:val="center"/>
            </w:pPr>
            <w:r/>
            <w:r>
              <w:rPr>
                <w:rFonts w:ascii="Times New Roman" w:hAnsi="Times New Roman"/>
                <w:b/>
                <w:sz w:val="18"/>
              </w:rPr>
              <w:t>Definition</w:t>
            </w:r>
          </w:p>
        </w:tc>
        <w:tc>
          <w:tcPr>
            <w:tcW w:type="dxa" w:w="2340"/>
          </w:tcPr>
          <w:p>
            <w:pPr>
              <w:jc w:val="center"/>
            </w:pPr>
            <w:r/>
            <w:r>
              <w:rPr>
                <w:rFonts w:ascii="Times New Roman" w:hAnsi="Times New Roman"/>
                <w:b/>
                <w:sz w:val="18"/>
              </w:rPr>
              <w:t>Outcome</w:t>
            </w:r>
          </w:p>
        </w:tc>
        <w:tc>
          <w:tcPr>
            <w:tcW w:type="dxa" w:w="2340"/>
          </w:tcPr>
          <w:p>
            <w:pPr>
              <w:jc w:val="center"/>
            </w:pPr>
            <w:r/>
            <w:r>
              <w:rPr>
                <w:rFonts w:ascii="Times New Roman" w:hAnsi="Times New Roman"/>
                <w:b/>
                <w:sz w:val="18"/>
              </w:rPr>
              <w:t>Window period (years)</w:t>
            </w:r>
          </w:p>
        </w:tc>
      </w:tr>
      <w:tr>
        <w:tc>
          <w:tcPr>
            <w:tcW w:type="dxa" w:w="2340"/>
          </w:tcPr>
          <w:p>
            <w:r/>
            <w:r>
              <w:rPr>
                <w:rFonts w:ascii="Times New Roman" w:hAnsi="Times New Roman"/>
                <w:sz w:val="18"/>
              </w:rPr>
              <w:t>Internal medicine</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Internal medicine</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General surgery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7</w:t>
            </w:r>
          </w:p>
        </w:tc>
      </w:tr>
      <w:tr>
        <w:tc>
          <w:tcPr>
            <w:tcW w:type="dxa" w:w="2340"/>
          </w:tcPr>
          <w:p>
            <w:r/>
            <w:r>
              <w:rPr>
                <w:rFonts w:ascii="Times New Roman" w:hAnsi="Times New Roman"/>
                <w:sz w:val="18"/>
              </w:rPr>
              <w:t>General surgery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7</w:t>
            </w:r>
          </w:p>
        </w:tc>
      </w:tr>
      <w:tr>
        <w:tc>
          <w:tcPr>
            <w:tcW w:type="dxa" w:w="2340"/>
          </w:tcPr>
          <w:p>
            <w:r/>
            <w:r>
              <w:rPr>
                <w:rFonts w:ascii="Times New Roman" w:hAnsi="Times New Roman"/>
                <w:sz w:val="18"/>
              </w:rPr>
              <w:t>General surgery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10</w:t>
            </w:r>
          </w:p>
        </w:tc>
      </w:tr>
      <w:tr>
        <w:tc>
          <w:tcPr>
            <w:tcW w:type="dxa" w:w="2340"/>
          </w:tcPr>
          <w:p>
            <w:r/>
            <w:r>
              <w:rPr>
                <w:rFonts w:ascii="Times New Roman" w:hAnsi="Times New Roman"/>
                <w:sz w:val="18"/>
              </w:rPr>
              <w:t>General surgery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Orthopaedic surgery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2</w:t>
            </w:r>
          </w:p>
        </w:tc>
      </w:tr>
      <w:tr>
        <w:tc>
          <w:tcPr>
            <w:tcW w:type="dxa" w:w="2340"/>
          </w:tcPr>
          <w:p>
            <w:r/>
            <w:r>
              <w:rPr>
                <w:rFonts w:ascii="Times New Roman" w:hAnsi="Times New Roman"/>
                <w:sz w:val="18"/>
              </w:rPr>
              <w:t>Orthopaedic surgery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6</w:t>
            </w:r>
          </w:p>
        </w:tc>
      </w:tr>
      <w:tr>
        <w:tc>
          <w:tcPr>
            <w:tcW w:type="dxa" w:w="2340"/>
          </w:tcPr>
          <w:p>
            <w:r/>
            <w:r>
              <w:rPr>
                <w:rFonts w:ascii="Times New Roman" w:hAnsi="Times New Roman"/>
                <w:sz w:val="18"/>
              </w:rPr>
              <w:t>Orthopaedic surgery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2</w:t>
            </w:r>
          </w:p>
        </w:tc>
      </w:tr>
      <w:tr>
        <w:tc>
          <w:tcPr>
            <w:tcW w:type="dxa" w:w="2340"/>
          </w:tcPr>
          <w:p>
            <w:r/>
            <w:r>
              <w:rPr>
                <w:rFonts w:ascii="Times New Roman" w:hAnsi="Times New Roman"/>
                <w:sz w:val="18"/>
              </w:rPr>
              <w:t>Orthopaedic surgery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Plastic surgery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4</w:t>
            </w:r>
          </w:p>
        </w:tc>
      </w:tr>
      <w:tr>
        <w:tc>
          <w:tcPr>
            <w:tcW w:type="dxa" w:w="2340"/>
          </w:tcPr>
          <w:p>
            <w:r/>
            <w:r>
              <w:rPr>
                <w:rFonts w:ascii="Times New Roman" w:hAnsi="Times New Roman"/>
                <w:sz w:val="18"/>
              </w:rPr>
              <w:t>Plastic surgery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Plastic surgery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1</w:t>
            </w:r>
          </w:p>
        </w:tc>
      </w:tr>
      <w:tr>
        <w:tc>
          <w:tcPr>
            <w:tcW w:type="dxa" w:w="2340"/>
          </w:tcPr>
          <w:p>
            <w:r/>
            <w:r>
              <w:rPr>
                <w:rFonts w:ascii="Times New Roman" w:hAnsi="Times New Roman"/>
                <w:sz w:val="18"/>
              </w:rPr>
              <w:t>Plastic surgery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1</w:t>
            </w:r>
          </w:p>
        </w:tc>
      </w:tr>
      <w:tr>
        <w:tc>
          <w:tcPr>
            <w:tcW w:type="dxa" w:w="2340"/>
          </w:tcPr>
          <w:p>
            <w:r/>
            <w:r>
              <w:rPr>
                <w:rFonts w:ascii="Times New Roman" w:hAnsi="Times New Roman"/>
                <w:sz w:val="18"/>
              </w:rPr>
              <w:t>Obstetrics &amp; gynaecology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7</w:t>
            </w:r>
          </w:p>
        </w:tc>
      </w:tr>
      <w:tr>
        <w:tc>
          <w:tcPr>
            <w:tcW w:type="dxa" w:w="2340"/>
          </w:tcPr>
          <w:p>
            <w:r/>
            <w:r>
              <w:rPr>
                <w:rFonts w:ascii="Times New Roman" w:hAnsi="Times New Roman"/>
                <w:sz w:val="18"/>
              </w:rPr>
              <w:t>Obstetrics &amp; gynaecology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6</w:t>
            </w:r>
          </w:p>
        </w:tc>
      </w:tr>
      <w:tr>
        <w:tc>
          <w:tcPr>
            <w:tcW w:type="dxa" w:w="2340"/>
          </w:tcPr>
          <w:p>
            <w:r/>
            <w:r>
              <w:rPr>
                <w:rFonts w:ascii="Times New Roman" w:hAnsi="Times New Roman"/>
                <w:sz w:val="18"/>
              </w:rPr>
              <w:t>Obstetrics &amp; gynaecology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9</w:t>
            </w:r>
          </w:p>
        </w:tc>
      </w:tr>
      <w:tr>
        <w:tc>
          <w:tcPr>
            <w:tcW w:type="dxa" w:w="2340"/>
          </w:tcPr>
          <w:p>
            <w:r/>
            <w:r>
              <w:rPr>
                <w:rFonts w:ascii="Times New Roman" w:hAnsi="Times New Roman"/>
                <w:sz w:val="18"/>
              </w:rPr>
              <w:t>Obstetrics &amp; gynaecology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1</w:t>
            </w:r>
          </w:p>
        </w:tc>
      </w:tr>
      <w:tr>
        <w:tc>
          <w:tcPr>
            <w:tcW w:type="dxa" w:w="2340"/>
          </w:tcPr>
          <w:p>
            <w:r/>
            <w:r>
              <w:rPr>
                <w:rFonts w:ascii="Times New Roman" w:hAnsi="Times New Roman"/>
                <w:sz w:val="18"/>
              </w:rPr>
              <w:t>Paediatrics</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3</w:t>
            </w:r>
          </w:p>
        </w:tc>
      </w:tr>
      <w:tr>
        <w:tc>
          <w:tcPr>
            <w:tcW w:type="dxa" w:w="2340"/>
          </w:tcPr>
          <w:p>
            <w:r/>
            <w:r>
              <w:rPr>
                <w:rFonts w:ascii="Times New Roman" w:hAnsi="Times New Roman"/>
                <w:sz w:val="18"/>
              </w:rPr>
              <w:t>Paediatrics</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6</w:t>
            </w:r>
          </w:p>
        </w:tc>
      </w:tr>
      <w:tr>
        <w:tc>
          <w:tcPr>
            <w:tcW w:type="dxa" w:w="2340"/>
          </w:tcPr>
          <w:p>
            <w:r/>
            <w:r>
              <w:rPr>
                <w:rFonts w:ascii="Times New Roman" w:hAnsi="Times New Roman"/>
                <w:sz w:val="18"/>
              </w:rPr>
              <w:t>Paediatrics</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Paediatrics</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Psychiatry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7</w:t>
            </w:r>
          </w:p>
        </w:tc>
      </w:tr>
      <w:tr>
        <w:tc>
          <w:tcPr>
            <w:tcW w:type="dxa" w:w="2340"/>
          </w:tcPr>
          <w:p>
            <w:r/>
            <w:r>
              <w:rPr>
                <w:rFonts w:ascii="Times New Roman" w:hAnsi="Times New Roman"/>
                <w:sz w:val="18"/>
              </w:rPr>
              <w:t>Psychiatry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7</w:t>
            </w:r>
          </w:p>
        </w:tc>
      </w:tr>
      <w:tr>
        <w:tc>
          <w:tcPr>
            <w:tcW w:type="dxa" w:w="2340"/>
          </w:tcPr>
          <w:p>
            <w:r/>
            <w:r>
              <w:rPr>
                <w:rFonts w:ascii="Times New Roman" w:hAnsi="Times New Roman"/>
                <w:sz w:val="18"/>
              </w:rPr>
              <w:t>Psychiatry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3</w:t>
            </w:r>
          </w:p>
        </w:tc>
      </w:tr>
      <w:tr>
        <w:tc>
          <w:tcPr>
            <w:tcW w:type="dxa" w:w="2340"/>
          </w:tcPr>
          <w:p>
            <w:r/>
            <w:r>
              <w:rPr>
                <w:rFonts w:ascii="Times New Roman" w:hAnsi="Times New Roman"/>
                <w:sz w:val="18"/>
              </w:rPr>
              <w:t>Psychiatry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3</w:t>
            </w:r>
          </w:p>
        </w:tc>
      </w:tr>
      <w:tr>
        <w:tc>
          <w:tcPr>
            <w:tcW w:type="dxa" w:w="2340"/>
          </w:tcPr>
          <w:p>
            <w:r/>
            <w:r>
              <w:rPr>
                <w:rFonts w:ascii="Times New Roman" w:hAnsi="Times New Roman"/>
                <w:sz w:val="18"/>
              </w:rPr>
              <w:t>Ophthalmology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6</w:t>
            </w:r>
          </w:p>
        </w:tc>
      </w:tr>
      <w:tr>
        <w:tc>
          <w:tcPr>
            <w:tcW w:type="dxa" w:w="2340"/>
          </w:tcPr>
          <w:p>
            <w:r/>
            <w:r>
              <w:rPr>
                <w:rFonts w:ascii="Times New Roman" w:hAnsi="Times New Roman"/>
                <w:sz w:val="18"/>
              </w:rPr>
              <w:t>Ophthalmology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Ophthalmology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3</w:t>
            </w:r>
          </w:p>
        </w:tc>
      </w:tr>
      <w:tr>
        <w:tc>
          <w:tcPr>
            <w:tcW w:type="dxa" w:w="2340"/>
          </w:tcPr>
          <w:p>
            <w:r/>
            <w:r>
              <w:rPr>
                <w:rFonts w:ascii="Times New Roman" w:hAnsi="Times New Roman"/>
                <w:sz w:val="18"/>
              </w:rPr>
              <w:t>Ophthalmology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7</w:t>
            </w:r>
          </w:p>
        </w:tc>
      </w:tr>
      <w:tr>
        <w:tc>
          <w:tcPr>
            <w:tcW w:type="dxa" w:w="2340"/>
          </w:tcPr>
          <w:p>
            <w:r/>
            <w:r>
              <w:rPr>
                <w:rFonts w:ascii="Times New Roman" w:hAnsi="Times New Roman"/>
                <w:sz w:val="18"/>
              </w:rPr>
              <w:t>Otolaryngology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6</w:t>
            </w:r>
          </w:p>
        </w:tc>
      </w:tr>
      <w:tr>
        <w:tc>
          <w:tcPr>
            <w:tcW w:type="dxa" w:w="2340"/>
          </w:tcPr>
          <w:p>
            <w:r/>
            <w:r>
              <w:rPr>
                <w:rFonts w:ascii="Times New Roman" w:hAnsi="Times New Roman"/>
                <w:sz w:val="18"/>
              </w:rPr>
              <w:t>Otolaryngology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6</w:t>
            </w:r>
          </w:p>
        </w:tc>
      </w:tr>
      <w:tr>
        <w:tc>
          <w:tcPr>
            <w:tcW w:type="dxa" w:w="2340"/>
          </w:tcPr>
          <w:p>
            <w:r/>
            <w:r>
              <w:rPr>
                <w:rFonts w:ascii="Times New Roman" w:hAnsi="Times New Roman"/>
                <w:sz w:val="18"/>
              </w:rPr>
              <w:t>Otolaryngology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3</w:t>
            </w:r>
          </w:p>
        </w:tc>
      </w:tr>
      <w:tr>
        <w:tc>
          <w:tcPr>
            <w:tcW w:type="dxa" w:w="2340"/>
          </w:tcPr>
          <w:p>
            <w:r/>
            <w:r>
              <w:rPr>
                <w:rFonts w:ascii="Times New Roman" w:hAnsi="Times New Roman"/>
                <w:sz w:val="18"/>
              </w:rPr>
              <w:t>Otolaryngology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7</w:t>
            </w:r>
          </w:p>
        </w:tc>
      </w:tr>
      <w:tr>
        <w:tc>
          <w:tcPr>
            <w:tcW w:type="dxa" w:w="2340"/>
          </w:tcPr>
          <w:p>
            <w:r/>
            <w:r>
              <w:rPr>
                <w:rFonts w:ascii="Times New Roman" w:hAnsi="Times New Roman"/>
                <w:sz w:val="18"/>
              </w:rPr>
              <w:t>Urology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2</w:t>
            </w:r>
          </w:p>
        </w:tc>
      </w:tr>
      <w:tr>
        <w:tc>
          <w:tcPr>
            <w:tcW w:type="dxa" w:w="2340"/>
          </w:tcPr>
          <w:p>
            <w:r/>
            <w:r>
              <w:rPr>
                <w:rFonts w:ascii="Times New Roman" w:hAnsi="Times New Roman"/>
                <w:sz w:val="18"/>
              </w:rPr>
              <w:t>Urology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4</w:t>
            </w:r>
          </w:p>
        </w:tc>
      </w:tr>
      <w:tr>
        <w:tc>
          <w:tcPr>
            <w:tcW w:type="dxa" w:w="2340"/>
          </w:tcPr>
          <w:p>
            <w:r/>
            <w:r>
              <w:rPr>
                <w:rFonts w:ascii="Times New Roman" w:hAnsi="Times New Roman"/>
                <w:sz w:val="18"/>
              </w:rPr>
              <w:t>Urology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7</w:t>
            </w:r>
          </w:p>
        </w:tc>
      </w:tr>
      <w:tr>
        <w:tc>
          <w:tcPr>
            <w:tcW w:type="dxa" w:w="2340"/>
          </w:tcPr>
          <w:p>
            <w:r/>
            <w:r>
              <w:rPr>
                <w:rFonts w:ascii="Times New Roman" w:hAnsi="Times New Roman"/>
                <w:sz w:val="18"/>
              </w:rPr>
              <w:t>Urology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Dermatology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Dermatology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6</w:t>
            </w:r>
          </w:p>
        </w:tc>
      </w:tr>
      <w:tr>
        <w:tc>
          <w:tcPr>
            <w:tcW w:type="dxa" w:w="2340"/>
          </w:tcPr>
          <w:p>
            <w:r/>
            <w:r>
              <w:rPr>
                <w:rFonts w:ascii="Times New Roman" w:hAnsi="Times New Roman"/>
                <w:sz w:val="18"/>
              </w:rPr>
              <w:t>Dermatology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3</w:t>
            </w:r>
          </w:p>
        </w:tc>
      </w:tr>
      <w:tr>
        <w:tc>
          <w:tcPr>
            <w:tcW w:type="dxa" w:w="2340"/>
          </w:tcPr>
          <w:p>
            <w:r/>
            <w:r>
              <w:rPr>
                <w:rFonts w:ascii="Times New Roman" w:hAnsi="Times New Roman"/>
                <w:sz w:val="18"/>
              </w:rPr>
              <w:t>Dermatology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2</w:t>
            </w:r>
          </w:p>
        </w:tc>
      </w:tr>
      <w:tr>
        <w:tc>
          <w:tcPr>
            <w:tcW w:type="dxa" w:w="2340"/>
          </w:tcPr>
          <w:p>
            <w:r/>
            <w:r>
              <w:rPr>
                <w:rFonts w:ascii="Times New Roman" w:hAnsi="Times New Roman"/>
                <w:sz w:val="18"/>
              </w:rPr>
              <w:t>Anaesthesiology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4</w:t>
            </w:r>
          </w:p>
        </w:tc>
      </w:tr>
      <w:tr>
        <w:tc>
          <w:tcPr>
            <w:tcW w:type="dxa" w:w="2340"/>
          </w:tcPr>
          <w:p>
            <w:r/>
            <w:r>
              <w:rPr>
                <w:rFonts w:ascii="Times New Roman" w:hAnsi="Times New Roman"/>
                <w:sz w:val="18"/>
              </w:rPr>
              <w:t>Anaesthesiology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3</w:t>
            </w:r>
          </w:p>
        </w:tc>
      </w:tr>
      <w:tr>
        <w:tc>
          <w:tcPr>
            <w:tcW w:type="dxa" w:w="2340"/>
          </w:tcPr>
          <w:p>
            <w:r/>
            <w:r>
              <w:rPr>
                <w:rFonts w:ascii="Times New Roman" w:hAnsi="Times New Roman"/>
                <w:sz w:val="18"/>
              </w:rPr>
              <w:t>Anaesthesiology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10</w:t>
            </w:r>
          </w:p>
        </w:tc>
      </w:tr>
      <w:tr>
        <w:tc>
          <w:tcPr>
            <w:tcW w:type="dxa" w:w="2340"/>
          </w:tcPr>
          <w:p>
            <w:r/>
            <w:r>
              <w:rPr>
                <w:rFonts w:ascii="Times New Roman" w:hAnsi="Times New Roman"/>
                <w:sz w:val="18"/>
              </w:rPr>
              <w:t>Anaesthesiology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3</w:t>
            </w:r>
          </w:p>
        </w:tc>
      </w:tr>
      <w:tr>
        <w:tc>
          <w:tcPr>
            <w:tcW w:type="dxa" w:w="2340"/>
          </w:tcPr>
          <w:p>
            <w:r/>
            <w:r>
              <w:rPr>
                <w:rFonts w:ascii="Times New Roman" w:hAnsi="Times New Roman"/>
                <w:sz w:val="18"/>
              </w:rPr>
              <w:t>Internal medicine</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2</w:t>
            </w:r>
          </w:p>
        </w:tc>
      </w:tr>
      <w:tr>
        <w:tc>
          <w:tcPr>
            <w:tcW w:type="dxa" w:w="2340"/>
          </w:tcPr>
          <w:p>
            <w:r/>
            <w:r>
              <w:rPr>
                <w:rFonts w:ascii="Times New Roman" w:hAnsi="Times New Roman"/>
                <w:sz w:val="18"/>
              </w:rPr>
              <w:t>Internal medicine</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2</w:t>
            </w:r>
          </w:p>
        </w:tc>
      </w:tr>
      <w:tr>
        <w:tc>
          <w:tcPr>
            <w:tcW w:type="dxa" w:w="2340"/>
          </w:tcPr>
          <w:p>
            <w:r/>
            <w:r>
              <w:rPr>
                <w:rFonts w:ascii="Times New Roman" w:hAnsi="Times New Roman"/>
                <w:sz w:val="18"/>
              </w:rPr>
              <w:t>General surgery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6</w:t>
            </w:r>
          </w:p>
        </w:tc>
      </w:tr>
      <w:tr>
        <w:tc>
          <w:tcPr>
            <w:tcW w:type="dxa" w:w="2340"/>
          </w:tcPr>
          <w:p>
            <w:r/>
            <w:r>
              <w:rPr>
                <w:rFonts w:ascii="Times New Roman" w:hAnsi="Times New Roman"/>
                <w:sz w:val="18"/>
              </w:rPr>
              <w:t>General surgery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7</w:t>
            </w:r>
          </w:p>
        </w:tc>
      </w:tr>
      <w:tr>
        <w:tc>
          <w:tcPr>
            <w:tcW w:type="dxa" w:w="2340"/>
          </w:tcPr>
          <w:p>
            <w:r/>
            <w:r>
              <w:rPr>
                <w:rFonts w:ascii="Times New Roman" w:hAnsi="Times New Roman"/>
                <w:sz w:val="18"/>
              </w:rPr>
              <w:t>Orthopaedic surgery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1</w:t>
            </w:r>
          </w:p>
        </w:tc>
      </w:tr>
      <w:tr>
        <w:tc>
          <w:tcPr>
            <w:tcW w:type="dxa" w:w="2340"/>
          </w:tcPr>
          <w:p>
            <w:r/>
            <w:r>
              <w:rPr>
                <w:rFonts w:ascii="Times New Roman" w:hAnsi="Times New Roman"/>
                <w:sz w:val="18"/>
              </w:rPr>
              <w:t>Orthopaedic surgery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1</w:t>
            </w:r>
          </w:p>
        </w:tc>
      </w:tr>
      <w:tr>
        <w:tc>
          <w:tcPr>
            <w:tcW w:type="dxa" w:w="2340"/>
          </w:tcPr>
          <w:p>
            <w:r/>
            <w:r>
              <w:rPr>
                <w:rFonts w:ascii="Times New Roman" w:hAnsi="Times New Roman"/>
                <w:sz w:val="18"/>
              </w:rPr>
              <w:t>Plastic surgery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4</w:t>
            </w:r>
          </w:p>
        </w:tc>
      </w:tr>
      <w:tr>
        <w:tc>
          <w:tcPr>
            <w:tcW w:type="dxa" w:w="2340"/>
          </w:tcPr>
          <w:p>
            <w:r/>
            <w:r>
              <w:rPr>
                <w:rFonts w:ascii="Times New Roman" w:hAnsi="Times New Roman"/>
                <w:sz w:val="18"/>
              </w:rPr>
              <w:t>Plastic surgery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4</w:t>
            </w:r>
          </w:p>
        </w:tc>
      </w:tr>
      <w:tr>
        <w:tc>
          <w:tcPr>
            <w:tcW w:type="dxa" w:w="2340"/>
          </w:tcPr>
          <w:p>
            <w:r/>
            <w:r>
              <w:rPr>
                <w:rFonts w:ascii="Times New Roman" w:hAnsi="Times New Roman"/>
                <w:sz w:val="18"/>
              </w:rPr>
              <w:t>Obstetrics &amp; gynaecology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2</w:t>
            </w:r>
          </w:p>
        </w:tc>
      </w:tr>
      <w:tr>
        <w:tc>
          <w:tcPr>
            <w:tcW w:type="dxa" w:w="2340"/>
          </w:tcPr>
          <w:p>
            <w:r/>
            <w:r>
              <w:rPr>
                <w:rFonts w:ascii="Times New Roman" w:hAnsi="Times New Roman"/>
                <w:sz w:val="18"/>
              </w:rPr>
              <w:t>Obstetrics &amp; gynaecology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6</w:t>
            </w:r>
          </w:p>
        </w:tc>
      </w:tr>
      <w:tr>
        <w:tc>
          <w:tcPr>
            <w:tcW w:type="dxa" w:w="2340"/>
          </w:tcPr>
          <w:p>
            <w:r/>
            <w:r>
              <w:rPr>
                <w:rFonts w:ascii="Times New Roman" w:hAnsi="Times New Roman"/>
                <w:sz w:val="18"/>
              </w:rPr>
              <w:t>Paediatrics</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4</w:t>
            </w:r>
          </w:p>
        </w:tc>
      </w:tr>
      <w:tr>
        <w:tc>
          <w:tcPr>
            <w:tcW w:type="dxa" w:w="2340"/>
          </w:tcPr>
          <w:p>
            <w:r/>
            <w:r>
              <w:rPr>
                <w:rFonts w:ascii="Times New Roman" w:hAnsi="Times New Roman"/>
                <w:sz w:val="18"/>
              </w:rPr>
              <w:t>Paediatrics</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6</w:t>
            </w:r>
          </w:p>
        </w:tc>
      </w:tr>
      <w:tr>
        <w:tc>
          <w:tcPr>
            <w:tcW w:type="dxa" w:w="2340"/>
          </w:tcPr>
          <w:p>
            <w:r/>
            <w:r>
              <w:rPr>
                <w:rFonts w:ascii="Times New Roman" w:hAnsi="Times New Roman"/>
                <w:sz w:val="18"/>
              </w:rPr>
              <w:t>Psychiatry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1</w:t>
            </w:r>
          </w:p>
        </w:tc>
      </w:tr>
      <w:tr>
        <w:tc>
          <w:tcPr>
            <w:tcW w:type="dxa" w:w="2340"/>
          </w:tcPr>
          <w:p>
            <w:r/>
            <w:r>
              <w:rPr>
                <w:rFonts w:ascii="Times New Roman" w:hAnsi="Times New Roman"/>
                <w:sz w:val="18"/>
              </w:rPr>
              <w:t>Psychiatry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1</w:t>
            </w:r>
          </w:p>
        </w:tc>
      </w:tr>
      <w:tr>
        <w:tc>
          <w:tcPr>
            <w:tcW w:type="dxa" w:w="2340"/>
          </w:tcPr>
          <w:p>
            <w:r/>
            <w:r>
              <w:rPr>
                <w:rFonts w:ascii="Times New Roman" w:hAnsi="Times New Roman"/>
                <w:sz w:val="18"/>
              </w:rPr>
              <w:t>Ophthalmology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Ophthalmology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4</w:t>
            </w:r>
          </w:p>
        </w:tc>
      </w:tr>
      <w:tr>
        <w:tc>
          <w:tcPr>
            <w:tcW w:type="dxa" w:w="2340"/>
          </w:tcPr>
          <w:p>
            <w:r/>
            <w:r>
              <w:rPr>
                <w:rFonts w:ascii="Times New Roman" w:hAnsi="Times New Roman"/>
                <w:sz w:val="18"/>
              </w:rPr>
              <w:t>Otolaryngology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1</w:t>
            </w:r>
          </w:p>
        </w:tc>
      </w:tr>
      <w:tr>
        <w:tc>
          <w:tcPr>
            <w:tcW w:type="dxa" w:w="2340"/>
          </w:tcPr>
          <w:p>
            <w:r/>
            <w:r>
              <w:rPr>
                <w:rFonts w:ascii="Times New Roman" w:hAnsi="Times New Roman"/>
                <w:sz w:val="18"/>
              </w:rPr>
              <w:t>Otolaryngology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1</w:t>
            </w:r>
          </w:p>
        </w:tc>
      </w:tr>
      <w:tr>
        <w:tc>
          <w:tcPr>
            <w:tcW w:type="dxa" w:w="2340"/>
          </w:tcPr>
          <w:p>
            <w:r/>
            <w:r>
              <w:rPr>
                <w:rFonts w:ascii="Times New Roman" w:hAnsi="Times New Roman"/>
                <w:sz w:val="18"/>
              </w:rPr>
              <w:t>Urology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2</w:t>
            </w:r>
          </w:p>
        </w:tc>
      </w:tr>
      <w:tr>
        <w:tc>
          <w:tcPr>
            <w:tcW w:type="dxa" w:w="2340"/>
          </w:tcPr>
          <w:p>
            <w:r/>
            <w:r>
              <w:rPr>
                <w:rFonts w:ascii="Times New Roman" w:hAnsi="Times New Roman"/>
                <w:sz w:val="18"/>
              </w:rPr>
              <w:t>Urology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2</w:t>
            </w:r>
          </w:p>
        </w:tc>
      </w:tr>
      <w:tr>
        <w:tc>
          <w:tcPr>
            <w:tcW w:type="dxa" w:w="2340"/>
          </w:tcPr>
          <w:p>
            <w:r/>
            <w:r>
              <w:rPr>
                <w:rFonts w:ascii="Times New Roman" w:hAnsi="Times New Roman"/>
                <w:sz w:val="18"/>
              </w:rPr>
              <w:t>Dermatology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1</w:t>
            </w:r>
          </w:p>
        </w:tc>
      </w:tr>
      <w:tr>
        <w:tc>
          <w:tcPr>
            <w:tcW w:type="dxa" w:w="2340"/>
          </w:tcPr>
          <w:p>
            <w:r/>
            <w:r>
              <w:rPr>
                <w:rFonts w:ascii="Times New Roman" w:hAnsi="Times New Roman"/>
                <w:sz w:val="18"/>
              </w:rPr>
              <w:t>Dermatology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1</w:t>
            </w:r>
          </w:p>
        </w:tc>
      </w:tr>
      <w:tr>
        <w:tc>
          <w:tcPr>
            <w:tcW w:type="dxa" w:w="2340"/>
          </w:tcPr>
          <w:p>
            <w:r/>
            <w:r>
              <w:rPr>
                <w:rFonts w:ascii="Times New Roman" w:hAnsi="Times New Roman"/>
                <w:sz w:val="18"/>
              </w:rPr>
              <w:t>Anaesthesiology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2</w:t>
            </w:r>
          </w:p>
        </w:tc>
      </w:tr>
      <w:tr>
        <w:tc>
          <w:tcPr>
            <w:tcW w:type="dxa" w:w="2340"/>
          </w:tcPr>
          <w:p>
            <w:r/>
            <w:r>
              <w:rPr>
                <w:rFonts w:ascii="Times New Roman" w:hAnsi="Times New Roman"/>
                <w:sz w:val="18"/>
              </w:rPr>
              <w:t>Anaesthesiology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3</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