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Temporal associations between medical safety incidents and physician workforce dynamics across 12 specialties in Japan: a vector autoregression and Granger causality analysis</w:t>
      </w:r>
    </w:p>
    <w:p>
      <w:pPr>
        <w:spacing w:after="120" w:line="480" w:lineRule="auto"/>
        <w:jc w:val="center"/>
      </w:pPr>
      <w:r>
        <w:rPr>
          <w:rFonts w:ascii="Times New Roman" w:hAnsi="Times New Roman"/>
          <w:b w:val="0"/>
          <w:i w:val="0"/>
          <w:sz w:val="24"/>
        </w:rPr>
        <w:t>Authors: Onishi Tatsuki</w:t>
      </w:r>
    </w:p>
    <w:p>
      <w:pPr>
        <w:spacing w:after="120" w:line="480" w:lineRule="auto"/>
        <w:jc w:val="center"/>
      </w:pPr>
      <w:r>
        <w:rPr>
          <w:rFonts w:ascii="Times New Roman" w:hAnsi="Times New Roman"/>
          <w:b w:val="0"/>
          <w:i w:val="0"/>
          <w:sz w:val="24"/>
        </w:rPr>
        <w:t>Correspondence to: Onishi Tatsuki</w:t>
        <w:br/>
        <w:t>Data Science AI Innovation Research Promotion Center, Shiga University</w:t>
        <w:br/>
        <w:t>1-1-1, Bamba, Hikone, Shiga, 522-8522 Japan</w:t>
      </w:r>
    </w:p>
    <w:p>
      <w:pPr>
        <w:spacing w:after="120" w:line="480" w:lineRule="auto"/>
        <w:jc w:val="center"/>
      </w:pPr>
      <w:r>
        <w:rPr>
          <w:rFonts w:ascii="Times New Roman" w:hAnsi="Times New Roman"/>
          <w:b w:val="0"/>
          <w:i/>
          <w:sz w:val="24"/>
        </w:rPr>
        <w:t>Word count: approximately 3 400 (excluding abstract, references, tables, and figure legends)</w:t>
      </w:r>
    </w:p>
    <w:p>
      <w:pPr>
        <w:spacing w:after="480" w:line="480" w:lineRule="auto"/>
        <w:jc w:val="center"/>
      </w:pPr>
      <w:r>
        <w:rPr>
          <w:rFonts w:ascii="Times New Roman" w:hAnsi="Times New Roman"/>
          <w:b w:val="0"/>
          <w:i/>
          <w:sz w:val="24"/>
        </w:rPr>
        <w:t>Keywords: medical safety incidents, physician workforce, Granger causality, vector autoregression, health policy, Japan</w:t>
      </w:r>
    </w:p>
    <w:p>
      <w:r>
        <w:br w:type="page"/>
      </w:r>
    </w:p>
    <w:p>
      <w:pPr>
        <w:pStyle w:val="Heading2"/>
      </w:pPr>
      <w:r>
        <w:rPr>
          <w:rFonts w:ascii="Times New Roman" w:hAnsi="Times New Roman"/>
          <w:color w:val="000000"/>
        </w:rPr>
        <w:t>Research in context</w:t>
      </w:r>
    </w:p>
    <w:p>
      <w:pPr>
        <w:pStyle w:val="Heading3"/>
      </w:pPr>
      <w:r>
        <w:rPr>
          <w:rFonts w:ascii="Times New Roman" w:hAnsi="Times New Roman"/>
          <w:color w:val="000000"/>
        </w:rPr>
        <w:t>What is already known</w:t>
      </w:r>
    </w:p>
    <w:p>
      <w:pPr>
        <w:pStyle w:val="ListBullet"/>
        <w:spacing w:line="480" w:lineRule="auto"/>
      </w:pPr>
      <w:r>
        <w:rPr>
          <w:rFonts w:ascii="Times New Roman" w:hAnsi="Times New Roman"/>
          <w:sz w:val="24"/>
        </w:rPr>
        <w:t>Medical malpractice litigation has been associated with defensive medicine and physician avoidance of high-risk specialties, primarily studied in the United States.</w:t>
      </w:r>
    </w:p>
    <w:p>
      <w:pPr>
        <w:pStyle w:val="ListBullet"/>
        <w:spacing w:line="480" w:lineRule="auto"/>
      </w:pPr>
      <w:r>
        <w:rPr>
          <w:rFonts w:ascii="Times New Roman" w:hAnsi="Times New Roman"/>
          <w:sz w:val="24"/>
        </w:rPr>
        <w:t>A single natural experiment in Japan (Fukushima obstetrics prosecution, 2006) demonstrated a 13% reduction in obstetricians using difference-in-differences analysis.</w:t>
      </w:r>
    </w:p>
    <w:p>
      <w:pPr>
        <w:pStyle w:val="ListBullet"/>
        <w:spacing w:line="480" w:lineRule="auto"/>
      </w:pPr>
      <w:r>
        <w:rPr>
          <w:rFonts w:ascii="Times New Roman" w:hAnsi="Times New Roman"/>
          <w:sz w:val="24"/>
        </w:rPr>
        <w:t>No study has systematically tested whether medical safety incidents Granger-cause changes in physician supply across multiple specialties.</w:t>
      </w:r>
    </w:p>
    <w:p>
      <w:pPr>
        <w:pStyle w:val="Heading3"/>
      </w:pPr>
      <w:r>
        <w:rPr>
          <w:rFonts w:ascii="Times New Roman" w:hAnsi="Times New Roman"/>
          <w:color w:val="000000"/>
        </w:rPr>
        <w:t>What this study adds</w:t>
      </w:r>
    </w:p>
    <w:p>
      <w:pPr>
        <w:pStyle w:val="ListBullet"/>
        <w:spacing w:line="480" w:lineRule="auto"/>
      </w:pPr>
      <w:r>
        <w:rPr>
          <w:rFonts w:ascii="Times New Roman" w:hAnsi="Times New Roman"/>
          <w:sz w:val="24"/>
        </w:rPr>
        <w:t>Using bivariate vector autoregression (VAR) models and Granger causality tests on 20 years of national data, we show that litigation statistics Granger-cause physician counts in 9 of 12 specialties and facility counts in 9 of 12 specialties.</w:t>
      </w:r>
    </w:p>
    <w:p>
      <w:pPr>
        <w:pStyle w:val="ListBullet"/>
        <w:spacing w:line="480" w:lineRule="auto"/>
      </w:pPr>
      <w:r>
        <w:rPr>
          <w:rFonts w:ascii="Times New Roman" w:hAnsi="Times New Roman"/>
          <w:sz w:val="24"/>
        </w:rPr>
        <w:t>Obstetrics and gynaecology exhibited the strongest forward Granger causality (F = 46.66, P &lt; 0.001), with impulse response functions indicating that a litigation shock reduces physician supply for approximately 3–5 years.</w:t>
      </w:r>
    </w:p>
    <w:p>
      <w:pPr>
        <w:pStyle w:val="ListBullet"/>
        <w:spacing w:line="480" w:lineRule="auto"/>
      </w:pPr>
      <w:r>
        <w:rPr>
          <w:rFonts w:ascii="Times New Roman" w:hAnsi="Times New Roman"/>
          <w:sz w:val="24"/>
        </w:rPr>
        <w:t>Bidirectional Granger causality was found for 7 specialty-outcome combinations, suggesting a reinforcing cycle between workforce shortages and safety incidents.</w:t>
      </w:r>
    </w:p>
    <w:p>
      <w:pPr>
        <w:pStyle w:val="Heading3"/>
      </w:pPr>
      <w:r>
        <w:rPr>
          <w:rFonts w:ascii="Times New Roman" w:hAnsi="Times New Roman"/>
          <w:color w:val="000000"/>
        </w:rPr>
        <w:t>Policy implications</w:t>
      </w:r>
    </w:p>
    <w:p>
      <w:pPr>
        <w:pStyle w:val="ListBullet"/>
        <w:spacing w:line="480" w:lineRule="auto"/>
      </w:pPr>
      <w:r>
        <w:rPr>
          <w:rFonts w:ascii="Times New Roman" w:hAnsi="Times New Roman"/>
          <w:sz w:val="24"/>
        </w:rPr>
        <w:t>Workforce planning models should incorporate a 1–4 year lag between safety incident trends and their downstream effects on physician supply.</w:t>
      </w:r>
    </w:p>
    <w:p>
      <w:pPr>
        <w:pStyle w:val="ListBullet"/>
        <w:spacing w:line="480" w:lineRule="auto"/>
      </w:pPr>
      <w:r>
        <w:rPr>
          <w:rFonts w:ascii="Times New Roman" w:hAnsi="Times New Roman"/>
          <w:sz w:val="24"/>
        </w:rPr>
        <w:t>Specialties showing bidirectional causality (obstetrics, paediatrics, general surgery) may benefit most from early intervention to break the shortage–incident cycle.</w:t>
      </w:r>
    </w:p>
    <w:p>
      <w:pPr>
        <w:pStyle w:val="Heading2"/>
      </w:pPr>
      <w:r>
        <w:rPr>
          <w:rFonts w:ascii="Times New Roman" w:hAnsi="Times New Roman"/>
          <w:color w:val="000000"/>
        </w:rPr>
        <w:t>Highlights</w:t>
      </w:r>
    </w:p>
    <w:p>
      <w:pPr>
        <w:pStyle w:val="ListBullet"/>
        <w:spacing w:line="480" w:lineRule="auto"/>
      </w:pPr>
      <w:r>
        <w:rPr>
          <w:rFonts w:ascii="Times New Roman" w:hAnsi="Times New Roman"/>
          <w:sz w:val="24"/>
        </w:rPr>
        <w:t>Medical safety incidents Granger-cause physician workforce changes in 9 of 12 specialties in Japan.</w:t>
      </w:r>
    </w:p>
    <w:p>
      <w:pPr>
        <w:pStyle w:val="ListBullet"/>
        <w:spacing w:line="480" w:lineRule="auto"/>
      </w:pPr>
      <w:r>
        <w:rPr>
          <w:rFonts w:ascii="Times New Roman" w:hAnsi="Times New Roman"/>
          <w:sz w:val="24"/>
        </w:rPr>
        <w:t>Obstetrics and gynaecology shows the strongest temporal association (F = 46.66, P &lt; 0.001).</w:t>
      </w:r>
    </w:p>
    <w:p>
      <w:pPr>
        <w:pStyle w:val="ListBullet"/>
        <w:spacing w:line="480" w:lineRule="auto"/>
      </w:pPr>
      <w:r>
        <w:rPr>
          <w:rFonts w:ascii="Times New Roman" w:hAnsi="Times New Roman"/>
          <w:sz w:val="24"/>
        </w:rPr>
        <w:t>Impulse response functions reveal a 3–5 year effect duration after a litigation shock.</w:t>
      </w:r>
    </w:p>
    <w:p>
      <w:pPr>
        <w:pStyle w:val="ListBullet"/>
        <w:spacing w:line="480" w:lineRule="auto"/>
      </w:pPr>
      <w:r>
        <w:rPr>
          <w:rFonts w:ascii="Times New Roman" w:hAnsi="Times New Roman"/>
          <w:sz w:val="24"/>
        </w:rPr>
        <w:t>Bidirectional causality suggests a reinforcing cycle between workforce shortages and incidents.</w:t>
      </w:r>
    </w:p>
    <w:p>
      <w:pPr>
        <w:pStyle w:val="ListBullet"/>
        <w:spacing w:line="480" w:lineRule="auto"/>
      </w:pPr>
      <w:r>
        <w:rPr>
          <w:rFonts w:ascii="Times New Roman" w:hAnsi="Times New Roman"/>
          <w:sz w:val="24"/>
        </w:rPr>
        <w:t>VAR-based forecasts project continued decline in general surgery physicians and facilities through 2033.</w:t>
      </w:r>
    </w:p>
    <w:p>
      <w:r>
        <w:br w:type="page"/>
      </w:r>
    </w:p>
    <w:p>
      <w:pPr>
        <w:pStyle w:val="Heading1"/>
      </w:pPr>
      <w:r>
        <w:rPr>
          <w:rFonts w:ascii="Times New Roman" w:hAnsi="Times New Roman"/>
          <w:color w:val="000000"/>
        </w:rPr>
        <w:t>Abstract</w:t>
      </w:r>
    </w:p>
    <w:p>
      <w:pPr>
        <w:spacing w:line="480" w:lineRule="auto" w:after="120"/>
      </w:pPr>
      <w:r>
        <w:rPr>
          <w:rFonts w:ascii="Times New Roman" w:hAnsi="Times New Roman"/>
          <w:b/>
          <w:sz w:val="24"/>
        </w:rPr>
        <w:t xml:space="preserve">Background: </w:t>
      </w:r>
      <w:r>
        <w:rPr>
          <w:rFonts w:ascii="Times New Roman" w:hAnsi="Times New Roman"/>
          <w:b w:val="0"/>
          <w:i w:val="0"/>
          <w:sz w:val="24"/>
        </w:rPr>
        <w:t>Medical safety incidents may deter physicians from high-risk specialties, yet quantitative evidence of their temporal impact on workforce supply remains limited.</w:t>
      </w:r>
    </w:p>
    <w:p>
      <w:pPr>
        <w:spacing w:line="480" w:lineRule="auto" w:after="120"/>
      </w:pPr>
      <w:r>
        <w:rPr>
          <w:rFonts w:ascii="Times New Roman" w:hAnsi="Times New Roman"/>
          <w:b/>
          <w:sz w:val="24"/>
        </w:rPr>
        <w:t xml:space="preserve">Objective: </w:t>
      </w:r>
      <w:r>
        <w:rPr>
          <w:rFonts w:ascii="Times New Roman" w:hAnsi="Times New Roman"/>
          <w:b w:val="0"/>
          <w:i w:val="0"/>
          <w:sz w:val="24"/>
        </w:rPr>
        <w:t>To test whether medical safety incident counts Granger-cause changes in specialty-specific physician and healthcare facility numbers in Japan.</w:t>
      </w:r>
    </w:p>
    <w:p>
      <w:pPr>
        <w:spacing w:line="480" w:lineRule="auto" w:after="120"/>
      </w:pPr>
      <w:r>
        <w:rPr>
          <w:rFonts w:ascii="Times New Roman" w:hAnsi="Times New Roman"/>
          <w:b/>
          <w:sz w:val="24"/>
        </w:rPr>
        <w:t xml:space="preserve">Methods: </w:t>
      </w:r>
      <w:r>
        <w:rPr>
          <w:rFonts w:ascii="Times New Roman" w:hAnsi="Times New Roman"/>
          <w:b w:val="0"/>
          <w:i w:val="0"/>
          <w:sz w:val="24"/>
        </w:rPr>
        <w:t>We constructed bivariate vector autoregression (VAR) models for 12 specialties using two national incident series—mandatory safety reports (2015–2025) and malpractice litigation statistics (2004–2023)—paired with physician and facility counts. Granger causality F-tests, impulse response functions (IRF), and VAR-based forecasts were computed.</w:t>
      </w:r>
    </w:p>
    <w:p>
      <w:pPr>
        <w:spacing w:line="480" w:lineRule="auto" w:after="120"/>
      </w:pPr>
      <w:r>
        <w:rPr>
          <w:rFonts w:ascii="Times New Roman" w:hAnsi="Times New Roman"/>
          <w:b/>
          <w:sz w:val="24"/>
        </w:rPr>
        <w:t xml:space="preserve">Results: </w:t>
      </w:r>
      <w:r>
        <w:rPr>
          <w:rFonts w:ascii="Times New Roman" w:hAnsi="Times New Roman"/>
          <w:b w:val="0"/>
          <w:i w:val="0"/>
          <w:sz w:val="24"/>
        </w:rPr>
        <w:t>Of 47 VAR models fitted, 20 showed significant forward Granger causality (incidents → workforce; P &lt; 0.05). Obstetrics and gynaecology exhibited the strongest association with physician counts (F = 46.66, P &lt; 0.001, lag 1 year). Significant forward causality was found for 9 of 12 specialties using litigation data. Bidirectional causality was observed in 7 specialty-outcome pairs, including obstetrics, paediatrics, and general surgery. IRFs indicated that a one-unit litigation shock reduced physician counts for 3–5 years. VAR forecasts project continued decline in general surgery physicians (−230/year) and facilities (−310/year) through 2033.</w:t>
      </w:r>
    </w:p>
    <w:p>
      <w:pPr>
        <w:spacing w:line="480" w:lineRule="auto" w:after="120"/>
      </w:pPr>
      <w:r>
        <w:rPr>
          <w:rFonts w:ascii="Times New Roman" w:hAnsi="Times New Roman"/>
          <w:b/>
          <w:sz w:val="24"/>
        </w:rPr>
        <w:t xml:space="preserve">Conclusions: </w:t>
      </w:r>
      <w:r>
        <w:rPr>
          <w:rFonts w:ascii="Times New Roman" w:hAnsi="Times New Roman"/>
          <w:b w:val="0"/>
          <w:i w:val="0"/>
          <w:sz w:val="24"/>
        </w:rPr>
        <w:t>Medical safety incidents Granger-cause reductions in physician supply across most specialties, with effects lasting 3–5 years. Bidirectional causality in several specialties suggests a reinforcing cycle. These findings support incorporating incident trends into workforce planning models.</w:t>
      </w:r>
    </w:p>
    <w:p>
      <w:pPr>
        <w:spacing w:after="360" w:line="480" w:lineRule="auto"/>
      </w:pPr>
      <w:r>
        <w:rPr>
          <w:rFonts w:ascii="Times New Roman" w:hAnsi="Times New Roman"/>
          <w:b w:val="0"/>
          <w:i/>
          <w:sz w:val="24"/>
        </w:rPr>
        <w:t>Keywords: medical safety incidents, physician workforce, Granger causality, vector autoregression, health policy, Japan</w:t>
      </w:r>
    </w:p>
    <w:p>
      <w:r>
        <w:br w:type="page"/>
      </w:r>
    </w:p>
    <w:p>
      <w:pPr>
        <w:pStyle w:val="Heading1"/>
      </w:pPr>
      <w:r>
        <w:rPr>
          <w:rFonts w:ascii="Times New Roman" w:hAnsi="Times New Roman"/>
          <w:color w:val="000000"/>
        </w:rPr>
        <w:t>Background</w:t>
      </w:r>
    </w:p>
    <w:p>
      <w:pPr>
        <w:spacing w:after="120" w:line="480" w:lineRule="auto"/>
      </w:pPr>
      <w:r>
        <w:rPr>
          <w:rFonts w:ascii="Times New Roman" w:hAnsi="Times New Roman"/>
          <w:b w:val="0"/>
          <w:i w:val="0"/>
          <w:sz w:val="24"/>
        </w:rPr>
        <w:t>The relationship between medical safety incidents and physician workforce dynamics is of growing importance to health systems worldwide. Concerns that malpractice risk drives physicians away from high-risk specialties have been raised for decades,</w:t>
      </w:r>
      <w:r>
        <w:rPr>
          <w:rFonts w:ascii="Times New Roman" w:hAnsi="Times New Roman"/>
          <w:b w:val="0"/>
          <w:i w:val="0"/>
          <w:sz w:val="20"/>
          <w:vertAlign w:val="superscript"/>
        </w:rPr>
        <w:t>[1–3]</w:t>
      </w:r>
      <w:r>
        <w:rPr>
          <w:rFonts w:ascii="Times New Roman" w:hAnsi="Times New Roman"/>
          <w:b w:val="0"/>
          <w:i w:val="0"/>
          <w:sz w:val="24"/>
        </w:rPr>
        <w:t xml:space="preserve"> yet quantitative evidence remains limited, geographically concentrated in the United States, and largely focused on tort reform rather than incident occurrence itself.</w:t>
      </w:r>
      <w:r>
        <w:rPr>
          <w:rFonts w:ascii="Times New Roman" w:hAnsi="Times New Roman"/>
          <w:b w:val="0"/>
          <w:i w:val="0"/>
          <w:sz w:val="20"/>
          <w:vertAlign w:val="superscript"/>
        </w:rPr>
        <w:t>[4–6]</w:t>
      </w:r>
    </w:p>
    <w:p>
      <w:pPr>
        <w:spacing w:after="120" w:line="480" w:lineRule="auto"/>
      </w:pPr>
      <w:r>
        <w:rPr>
          <w:rFonts w:ascii="Times New Roman" w:hAnsi="Times New Roman"/>
          <w:b w:val="0"/>
          <w:i w:val="0"/>
          <w:sz w:val="24"/>
        </w:rPr>
        <w:t>Japan provides a particularly informative setting for studying this phenomenon. In 2004, an obstetrician at Fukushima Prefectural Ohno Hospital was arrested following a maternal death during caesarean section, and subsequently prosecuted in 2006 for professional negligence causing death.</w:t>
      </w:r>
      <w:r>
        <w:rPr>
          <w:rFonts w:ascii="Times New Roman" w:hAnsi="Times New Roman"/>
          <w:b w:val="0"/>
          <w:i w:val="0"/>
          <w:sz w:val="20"/>
          <w:vertAlign w:val="superscript"/>
        </w:rPr>
        <w:t>[7]</w:t>
      </w:r>
      <w:r>
        <w:rPr>
          <w:rFonts w:ascii="Times New Roman" w:hAnsi="Times New Roman"/>
          <w:b w:val="0"/>
          <w:i w:val="0"/>
          <w:sz w:val="24"/>
        </w:rPr>
        <w:t xml:space="preserve"> Although the physician was acquitted in 2008, the case is widely regarded as a catalyst for the subsequent decline in obstetricians willing to provide delivery services.</w:t>
      </w:r>
      <w:r>
        <w:rPr>
          <w:rFonts w:ascii="Times New Roman" w:hAnsi="Times New Roman"/>
          <w:b w:val="0"/>
          <w:i w:val="0"/>
          <w:sz w:val="20"/>
          <w:vertAlign w:val="superscript"/>
        </w:rPr>
        <w:t>[8,9]</w:t>
      </w:r>
      <w:r>
        <w:rPr>
          <w:rFonts w:ascii="Times New Roman" w:hAnsi="Times New Roman"/>
          <w:b w:val="0"/>
          <w:i w:val="0"/>
          <w:sz w:val="24"/>
        </w:rPr>
        <w:t xml:space="preserve"> Morita estimated a 13% decrease in obstetricians in the affected prefecture using difference-in-differences and synthetic control methods.</w:t>
      </w:r>
      <w:r>
        <w:rPr>
          <w:rFonts w:ascii="Times New Roman" w:hAnsi="Times New Roman"/>
          <w:b w:val="0"/>
          <w:i w:val="0"/>
          <w:sz w:val="20"/>
          <w:vertAlign w:val="superscript"/>
        </w:rPr>
        <w:t>[10]</w:t>
      </w:r>
      <w:r>
        <w:rPr>
          <w:rFonts w:ascii="Times New Roman" w:hAnsi="Times New Roman"/>
          <w:b w:val="0"/>
          <w:i w:val="0"/>
          <w:sz w:val="24"/>
        </w:rPr>
        <w:t xml:space="preserve"> However, this analysis was limited to a single event, a single specialty, and a single geographic area.</w:t>
      </w:r>
    </w:p>
    <w:p>
      <w:pPr>
        <w:spacing w:after="120" w:line="480" w:lineRule="auto"/>
      </w:pPr>
      <w:r>
        <w:rPr>
          <w:rFonts w:ascii="Times New Roman" w:hAnsi="Times New Roman"/>
          <w:b w:val="0"/>
          <w:i w:val="0"/>
          <w:sz w:val="24"/>
        </w:rPr>
        <w:t>Japan’s healthcare system features two national-level data sources on medical safety incidents. First, the Japan Medical Safety Research Organisation (JMSR) was established in 2015 under a revision to the Medical Care Act, creating a mandatory reporting system for unexpected deaths potentially related to medical care.</w:t>
      </w:r>
      <w:r>
        <w:rPr>
          <w:rFonts w:ascii="Times New Roman" w:hAnsi="Times New Roman"/>
          <w:b w:val="0"/>
          <w:i w:val="0"/>
          <w:sz w:val="20"/>
          <w:vertAlign w:val="superscript"/>
        </w:rPr>
        <w:t>[11]</w:t>
      </w:r>
      <w:r>
        <w:rPr>
          <w:rFonts w:ascii="Times New Roman" w:hAnsi="Times New Roman"/>
          <w:b w:val="0"/>
          <w:i w:val="0"/>
          <w:sz w:val="24"/>
        </w:rPr>
        <w:t xml:space="preserve"> Second, the Supreme Court of Japan publishes annual statistics on medical malpractice litigation by specialty.</w:t>
      </w:r>
      <w:r>
        <w:rPr>
          <w:rFonts w:ascii="Times New Roman" w:hAnsi="Times New Roman"/>
          <w:b w:val="0"/>
          <w:i w:val="0"/>
          <w:sz w:val="20"/>
          <w:vertAlign w:val="superscript"/>
        </w:rPr>
        <w:t>[12,13]</w:t>
      </w:r>
      <w:r>
        <w:rPr>
          <w:rFonts w:ascii="Times New Roman" w:hAnsi="Times New Roman"/>
          <w:b w:val="0"/>
          <w:i w:val="0"/>
          <w:sz w:val="24"/>
        </w:rPr>
        <w:t xml:space="preserve"> Additionally, Japan conducts biennial national surveys of all practising physicians and maintains annual records of healthcare facility registrations—providing unusually detailed, population-level workforce data.</w:t>
      </w:r>
    </w:p>
    <w:p>
      <w:pPr>
        <w:spacing w:after="120" w:line="480" w:lineRule="auto"/>
      </w:pPr>
      <w:r>
        <w:rPr>
          <w:rFonts w:ascii="Times New Roman" w:hAnsi="Times New Roman"/>
          <w:b w:val="0"/>
          <w:i w:val="0"/>
          <w:sz w:val="24"/>
        </w:rPr>
        <w:t>Previous analyses of these data, including our own, have relied on interrupted time series (ITS) methodology with cross-correlation.</w:t>
      </w:r>
      <w:r>
        <w:rPr>
          <w:rFonts w:ascii="Times New Roman" w:hAnsi="Times New Roman"/>
          <w:b w:val="0"/>
          <w:i w:val="0"/>
          <w:sz w:val="20"/>
          <w:vertAlign w:val="superscript"/>
        </w:rPr>
        <w:t>[14]</w:t>
      </w:r>
      <w:r>
        <w:rPr>
          <w:rFonts w:ascii="Times New Roman" w:hAnsi="Times New Roman"/>
          <w:b w:val="0"/>
          <w:i w:val="0"/>
          <w:sz w:val="24"/>
        </w:rPr>
        <w:t xml:space="preserve"> However, ITS assumes a discrete, exogenous intervention point, which is poorly suited to continuously varying exposure data such as incident counts. Cross-correlation, while descriptive, does not formally test predictive causality and is susceptible to spurious associations from shared trends.</w:t>
      </w:r>
    </w:p>
    <w:p>
      <w:pPr>
        <w:spacing w:after="120" w:line="480" w:lineRule="auto"/>
      </w:pPr>
      <w:r>
        <w:rPr>
          <w:rFonts w:ascii="Times New Roman" w:hAnsi="Times New Roman"/>
          <w:b w:val="0"/>
          <w:i w:val="0"/>
          <w:sz w:val="24"/>
        </w:rPr>
        <w:t>We therefore re-analysed the data using vector autoregression (VAR) models and Granger causality tests—methods widely used in econometrics and increasingly applied in health policy research.</w:t>
      </w:r>
      <w:r>
        <w:rPr>
          <w:rFonts w:ascii="Times New Roman" w:hAnsi="Times New Roman"/>
          <w:b w:val="0"/>
          <w:i w:val="0"/>
          <w:sz w:val="20"/>
          <w:vertAlign w:val="superscript"/>
        </w:rPr>
        <w:t>[15–17]</w:t>
      </w:r>
      <w:r>
        <w:rPr>
          <w:rFonts w:ascii="Times New Roman" w:hAnsi="Times New Roman"/>
          <w:b w:val="0"/>
          <w:i w:val="0"/>
          <w:sz w:val="24"/>
        </w:rPr>
        <w:t xml:space="preserve"> VAR models simultaneously capture the dynamic interdependence between incident counts and workforce outcomes, while Granger causality provides a formal statistical test of whether past values of one series improve prediction of another. We further employed impulse response functions (IRFs) to estimate the magnitude and duration of workforce effects following a safety incident shock, and VAR-based forecasting to project workforce trends.</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pPr>
        <w:spacing w:after="120" w:line="480" w:lineRule="auto"/>
      </w:pPr>
      <w:r>
        <w:rPr>
          <w:rFonts w:ascii="Times New Roman" w:hAnsi="Times New Roman"/>
          <w:b w:val="0"/>
          <w:i w:val="0"/>
          <w:sz w:val="24"/>
        </w:rPr>
        <w:t>We conducted a secondary analysis of routinely collected national administrative data from Japan using bivariate VAR models and Granger causality tests. This study is reported in accordance with the RECORD (REporting of studies Conducted using Observational Routinely-collected health Data) statement,</w:t>
      </w:r>
      <w:r>
        <w:rPr>
          <w:rFonts w:ascii="Times New Roman" w:hAnsi="Times New Roman"/>
          <w:b w:val="0"/>
          <w:i w:val="0"/>
          <w:sz w:val="20"/>
          <w:vertAlign w:val="superscript"/>
        </w:rPr>
        <w:t>[18,19]</w:t>
      </w:r>
      <w:r>
        <w:rPr>
          <w:rFonts w:ascii="Times New Roman" w:hAnsi="Times New Roman"/>
          <w:b w:val="0"/>
          <w:i w:val="0"/>
          <w:sz w:val="24"/>
        </w:rPr>
        <w:t xml:space="preserve"> and the STROBE (Strengthening the Reporting of Observational Studies in Epidemiology) guidelines for ecological studies.</w:t>
      </w:r>
    </w:p>
    <w:p>
      <w:pPr>
        <w:pStyle w:val="Heading2"/>
      </w:pPr>
      <w:r>
        <w:rPr>
          <w:rFonts w:ascii="Times New Roman" w:hAnsi="Times New Roman"/>
          <w:color w:val="000000"/>
        </w:rPr>
        <w:t>Data sources</w:t>
      </w:r>
    </w:p>
    <w:p>
      <w:pPr>
        <w:spacing w:after="120" w:line="480" w:lineRule="auto"/>
      </w:pPr>
      <w:r>
        <w:rPr>
          <w:rFonts w:ascii="Times New Roman" w:hAnsi="Times New Roman"/>
          <w:b w:val="0"/>
          <w:i w:val="0"/>
          <w:sz w:val="24"/>
        </w:rPr>
        <w:t>Medical safety incident data were obtained from two sources. Definition 1 (JMSR): annual specialty-specific incident reports to the Japan Medical Safety Research Organisation for fiscal years 2015–2025 (11 annual observations).</w:t>
      </w:r>
      <w:r>
        <w:rPr>
          <w:rFonts w:ascii="Times New Roman" w:hAnsi="Times New Roman"/>
          <w:b w:val="0"/>
          <w:i w:val="0"/>
          <w:sz w:val="20"/>
          <w:vertAlign w:val="superscript"/>
        </w:rPr>
        <w:t>[11]</w:t>
      </w:r>
      <w:r>
        <w:rPr>
          <w:rFonts w:ascii="Times New Roman" w:hAnsi="Times New Roman"/>
          <w:b w:val="0"/>
          <w:i w:val="0"/>
          <w:sz w:val="24"/>
        </w:rPr>
        <w:t xml:space="preserve"> Definition 2 (litigation): annual specialty-specific medical malpractice closed-claim counts from the Supreme Court of Japan for 2004–2023 (20 annual observations).</w:t>
      </w:r>
      <w:r>
        <w:rPr>
          <w:rFonts w:ascii="Times New Roman" w:hAnsi="Times New Roman"/>
          <w:b w:val="0"/>
          <w:i w:val="0"/>
          <w:sz w:val="20"/>
          <w:vertAlign w:val="superscript"/>
        </w:rPr>
        <w:t>[12]</w:t>
      </w:r>
    </w:p>
    <w:p>
      <w:pPr>
        <w:spacing w:after="120" w:line="480" w:lineRule="auto"/>
      </w:pPr>
      <w:r>
        <w:rPr>
          <w:rFonts w:ascii="Times New Roman" w:hAnsi="Times New Roman"/>
          <w:b w:val="0"/>
          <w:i w:val="0"/>
          <w:sz w:val="24"/>
        </w:rPr>
        <w:t>Specialty-specific physician counts were obtained from the National Survey of Physicians, Dentists, and Pharmacists, conducted biennially by the Ministry of Health, Labour and Welfare, covering 2002–2024.</w:t>
      </w:r>
      <w:r>
        <w:rPr>
          <w:rFonts w:ascii="Times New Roman" w:hAnsi="Times New Roman"/>
          <w:b w:val="0"/>
          <w:i w:val="0"/>
          <w:sz w:val="20"/>
          <w:vertAlign w:val="superscript"/>
        </w:rPr>
        <w:t>[20]</w:t>
      </w:r>
      <w:r>
        <w:rPr>
          <w:rFonts w:ascii="Times New Roman" w:hAnsi="Times New Roman"/>
          <w:b w:val="0"/>
          <w:i w:val="0"/>
          <w:sz w:val="24"/>
        </w:rPr>
        <w:t xml:space="preserve"> As the survey is biennial, annual values were obtained by linear interpolation between survey years. Specialty-specific facility counts were obtained from the Survey of Medical Institutions, covering 2005–2024.</w:t>
      </w:r>
      <w:r>
        <w:rPr>
          <w:rFonts w:ascii="Times New Roman" w:hAnsi="Times New Roman"/>
          <w:b w:val="0"/>
          <w:i w:val="0"/>
          <w:sz w:val="20"/>
          <w:vertAlign w:val="superscript"/>
        </w:rPr>
        <w:t>[21]</w:t>
      </w:r>
      <w:r>
        <w:rPr>
          <w:rFonts w:ascii="Times New Roman" w:hAnsi="Times New Roman"/>
          <w:b w:val="0"/>
          <w:i w:val="0"/>
          <w:sz w:val="24"/>
        </w:rPr>
        <w:t xml:space="preserve"> Specialist trainee enrolment data were obtained from the Japan Board of Medical Specialties for 2018–2025 (8 years).</w:t>
      </w:r>
      <w:r>
        <w:rPr>
          <w:rFonts w:ascii="Times New Roman" w:hAnsi="Times New Roman"/>
          <w:b w:val="0"/>
          <w:i w:val="0"/>
          <w:sz w:val="20"/>
          <w:vertAlign w:val="superscript"/>
        </w:rPr>
        <w:t>[22]</w:t>
      </w:r>
    </w:p>
    <w:p>
      <w:pPr>
        <w:pStyle w:val="Heading2"/>
      </w:pPr>
      <w:r>
        <w:rPr>
          <w:rFonts w:ascii="Times New Roman" w:hAnsi="Times New Roman"/>
          <w:color w:val="000000"/>
        </w:rPr>
        <w:t>Specialties analysed</w:t>
      </w:r>
    </w:p>
    <w:p>
      <w:pPr>
        <w:spacing w:after="120" w:line="480" w:lineRule="auto"/>
      </w:pPr>
      <w:r>
        <w:rPr>
          <w:rFonts w:ascii="Times New Roman" w:hAnsi="Times New Roman"/>
          <w:b w:val="0"/>
          <w:i w:val="0"/>
          <w:sz w:val="24"/>
        </w:rPr>
        <w:t>Twelve core specialties with sufficient data across all sources were analysed: internal medicine, general surgery, orthopaedic surgery, plastic surgery, obstetrics and gynaecology, paediatrics, psychiatry, ophthalmology, otolaryngology, urology, dermatology, and anaesthesiology.</w:t>
      </w:r>
    </w:p>
    <w:p>
      <w:pPr>
        <w:pStyle w:val="Heading2"/>
      </w:pPr>
      <w:r>
        <w:rPr>
          <w:rFonts w:ascii="Times New Roman" w:hAnsi="Times New Roman"/>
          <w:color w:val="000000"/>
        </w:rPr>
        <w:t>Statistical analysis</w:t>
      </w:r>
    </w:p>
    <w:p>
      <w:pPr>
        <w:spacing w:after="120" w:line="480" w:lineRule="auto"/>
      </w:pPr>
      <w:r>
        <w:rPr>
          <w:rFonts w:ascii="Times New Roman" w:hAnsi="Times New Roman"/>
          <w:b w:val="0"/>
          <w:i w:val="0"/>
          <w:sz w:val="24"/>
        </w:rPr>
        <w:t>Stationarity of each series was assessed using augmented Dickey–Fuller (ADF) tests. When both series in a pair were non-stationary, first differences were used; otherwise, models were fitted in levels with a stationarity caveat noted.</w:t>
      </w:r>
    </w:p>
    <w:p>
      <w:pPr>
        <w:spacing w:after="120" w:line="480" w:lineRule="auto"/>
      </w:pPr>
      <w:r>
        <w:rPr>
          <w:rFonts w:ascii="Times New Roman" w:hAnsi="Times New Roman"/>
          <w:b w:val="0"/>
          <w:i w:val="0"/>
          <w:sz w:val="24"/>
        </w:rPr>
        <w:t>For each specialty–definition–outcome combination, a bivariate VAR model was fitted with the two endogenous variables being incident counts and the workforce outcome (physician count or facility count). The optimal lag order was selected by minimising the Akaike information criterion (AIC), with a maximum lag of min(4, n/3 − 1) to preserve degrees of freedom in these relatively short series.</w:t>
      </w:r>
    </w:p>
    <w:p>
      <w:pPr>
        <w:spacing w:after="120" w:line="480" w:lineRule="auto"/>
      </w:pPr>
      <w:r>
        <w:rPr>
          <w:rFonts w:ascii="Times New Roman" w:hAnsi="Times New Roman"/>
          <w:b w:val="0"/>
          <w:i w:val="0"/>
          <w:sz w:val="24"/>
        </w:rPr>
        <w:t>Granger causality was tested in both directions within the VAR framework using F-tests on the lagged coefficients.</w:t>
      </w:r>
      <w:r>
        <w:rPr>
          <w:rFonts w:ascii="Times New Roman" w:hAnsi="Times New Roman"/>
          <w:b w:val="0"/>
          <w:i w:val="0"/>
          <w:sz w:val="20"/>
          <w:vertAlign w:val="superscript"/>
        </w:rPr>
        <w:t>[23]</w:t>
      </w:r>
      <w:r>
        <w:rPr>
          <w:rFonts w:ascii="Times New Roman" w:hAnsi="Times New Roman"/>
          <w:b w:val="0"/>
          <w:i w:val="0"/>
          <w:sz w:val="24"/>
        </w:rPr>
        <w:t xml:space="preserve"> The null hypothesis for the forward test is that lagged incident counts do not improve prediction of the workforce outcome; for the reverse test, that lagged workforce counts do not improve prediction of incidents. Statistical significance was set at P &lt; 0.05. We report the lag yielding the most significant F-statistic for each direction.</w:t>
      </w:r>
    </w:p>
    <w:p>
      <w:pPr>
        <w:spacing w:after="120" w:line="480" w:lineRule="auto"/>
      </w:pPr>
      <w:r>
        <w:rPr>
          <w:rFonts w:ascii="Times New Roman" w:hAnsi="Times New Roman"/>
          <w:b w:val="0"/>
          <w:i w:val="0"/>
          <w:sz w:val="24"/>
        </w:rPr>
        <w:t>Impulse response functions (IRFs) were computed from the fitted VAR models to estimate the dynamic response of workforce outcomes to a one-unit shock in incident counts, over a 10-year horizon.</w:t>
      </w:r>
      <w:r>
        <w:rPr>
          <w:rFonts w:ascii="Times New Roman" w:hAnsi="Times New Roman"/>
          <w:b w:val="0"/>
          <w:i w:val="0"/>
          <w:sz w:val="20"/>
          <w:vertAlign w:val="superscript"/>
        </w:rPr>
        <w:t>[24]</w:t>
      </w:r>
      <w:r>
        <w:rPr>
          <w:rFonts w:ascii="Times New Roman" w:hAnsi="Times New Roman"/>
          <w:b w:val="0"/>
          <w:i w:val="0"/>
          <w:sz w:val="24"/>
        </w:rPr>
        <w:t xml:space="preserve"> IRFs provide both the magnitude and duration of the workforce effect following a safety incident shock.</w:t>
      </w:r>
    </w:p>
    <w:p>
      <w:pPr>
        <w:spacing w:after="120" w:line="480" w:lineRule="auto"/>
      </w:pPr>
      <w:r>
        <w:rPr>
          <w:rFonts w:ascii="Times New Roman" w:hAnsi="Times New Roman"/>
          <w:b w:val="0"/>
          <w:i w:val="0"/>
          <w:sz w:val="24"/>
        </w:rPr>
        <w:t>For specialties with litigation data (the longer series), VAR-based forecasts of workforce outcomes were generated for 2024–2033, with 95% forecast intervals.</w:t>
      </w:r>
    </w:p>
    <w:p>
      <w:pPr>
        <w:spacing w:after="120" w:line="480" w:lineRule="auto"/>
      </w:pPr>
      <w:r>
        <w:rPr>
          <w:rFonts w:ascii="Times New Roman" w:hAnsi="Times New Roman"/>
          <w:b w:val="0"/>
          <w:i w:val="0"/>
          <w:sz w:val="24"/>
        </w:rPr>
        <w:t>For specialist trainees, the short data series (8 years) precluded formal VAR modelling; detrended Pearson correlations between JMSR incidents and trainee enrolment were computed instead.</w:t>
      </w:r>
    </w:p>
    <w:p>
      <w:pPr>
        <w:spacing w:after="120" w:line="480" w:lineRule="auto"/>
      </w:pPr>
      <w:r>
        <w:rPr>
          <w:rFonts w:ascii="Times New Roman" w:hAnsi="Times New Roman"/>
          <w:b w:val="0"/>
          <w:i w:val="0"/>
          <w:sz w:val="24"/>
        </w:rPr>
        <w:t>All analyses were performed in Python 3.10 using statsmodels 0.14 (VAR and Granger causality), SciPy 1.14, and pandas 2.2.</w:t>
      </w:r>
      <w:r>
        <w:rPr>
          <w:rFonts w:ascii="Times New Roman" w:hAnsi="Times New Roman"/>
          <w:b w:val="0"/>
          <w:i w:val="0"/>
          <w:sz w:val="20"/>
          <w:vertAlign w:val="superscript"/>
        </w:rPr>
        <w:t>[25–27]</w:t>
      </w:r>
      <w:r>
        <w:rPr>
          <w:rFonts w:ascii="Times New Roman" w:hAnsi="Times New Roman"/>
          <w:b w:val="0"/>
          <w:i w:val="0"/>
          <w:sz w:val="24"/>
        </w:rPr>
        <w:t xml:space="preserve"> Analysis code and data are available at https://github.com/bougtoir/medical-accident-its-analysis.</w:t>
      </w:r>
    </w:p>
    <w:p>
      <w:pPr>
        <w:pStyle w:val="Heading2"/>
      </w:pPr>
      <w:r>
        <w:rPr>
          <w:rFonts w:ascii="Times New Roman" w:hAnsi="Times New Roman"/>
          <w:color w:val="000000"/>
        </w:rPr>
        <w:t>Patient and public involvement</w:t>
      </w:r>
    </w:p>
    <w:p>
      <w:pPr>
        <w:spacing w:after="120" w:line="480" w:lineRule="auto"/>
      </w:pPr>
      <w:r>
        <w:rPr>
          <w:rFonts w:ascii="Times New Roman" w:hAnsi="Times New Roman"/>
          <w:b w:val="0"/>
          <w:i w:val="0"/>
          <w:sz w:val="24"/>
        </w:rPr>
        <w:t>No patients or members of the public were involved in this research. This study used exclusively publicly available, aggregated administrative data.</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Descriptive overview</w:t>
      </w:r>
    </w:p>
    <w:p>
      <w:pPr>
        <w:spacing w:after="120" w:line="480" w:lineRule="auto"/>
      </w:pPr>
      <w:r>
        <w:rPr>
          <w:rFonts w:ascii="Times New Roman" w:hAnsi="Times New Roman"/>
          <w:b w:val="0"/>
          <w:i w:val="0"/>
          <w:sz w:val="24"/>
        </w:rPr>
        <w:t>Over the study period, the 12 core specialties encompassed approximately 200 000 physicians and 150 000 healthcare facilities. Between 2015 and 2025, the JMSR received 3 860 reports across all specialties, with general surgery (n = 520), internal medicine (n = 479), and orthopaedic surgery (n = 310) recording the highest volumes. Medical malpractice litigation cases across the 12 specialties declined from 1 139 in 2004 to 746 in 2023 overall, although trends varied by specialty (Figure 1).</w:t>
      </w:r>
    </w:p>
    <w:p>
      <w:pPr>
        <w:pStyle w:val="Heading2"/>
      </w:pPr>
      <w:r>
        <w:rPr>
          <w:rFonts w:ascii="Times New Roman" w:hAnsi="Times New Roman"/>
          <w:color w:val="000000"/>
        </w:rPr>
        <w:t>VAR model specification</w:t>
      </w:r>
    </w:p>
    <w:p>
      <w:pPr>
        <w:spacing w:after="120" w:line="480" w:lineRule="auto"/>
      </w:pPr>
      <w:r>
        <w:rPr>
          <w:rFonts w:ascii="Times New Roman" w:hAnsi="Times New Roman"/>
          <w:b w:val="0"/>
          <w:i w:val="0"/>
          <w:sz w:val="24"/>
        </w:rPr>
        <w:t>A total of 47 bivariate VAR models were fitted across the 12 specialties, two incident definitions, and two workforce outcomes. The litigation-based models (20 annual observations) provided the primary analysis; JMSR-based models (10–11 overlapping observations) served as sensitivity analyses. AIC-selected lag orders ranged from 1 to 4 (median 2).</w:t>
      </w:r>
    </w:p>
    <w:p>
      <w:pPr>
        <w:pStyle w:val="Heading2"/>
      </w:pPr>
      <w:r>
        <w:rPr>
          <w:rFonts w:ascii="Times New Roman" w:hAnsi="Times New Roman"/>
          <w:color w:val="000000"/>
        </w:rPr>
        <w:t>Granger causality tests</w:t>
      </w:r>
    </w:p>
    <w:p>
      <w:pPr>
        <w:spacing w:after="120" w:line="480" w:lineRule="auto"/>
      </w:pPr>
      <w:r>
        <w:rPr>
          <w:rFonts w:ascii="Times New Roman" w:hAnsi="Times New Roman"/>
          <w:b w:val="0"/>
          <w:i w:val="0"/>
          <w:sz w:val="24"/>
        </w:rPr>
        <w:t>Table 1 presents the Granger causality test results for all specialty–outcome combinations using litigation data. Of the 24 litigation-based tests (12 specialties × 2 outcomes), 18 showed significant forward Granger causality (incidents → workforce, P &lt; 0.05). The strongest forward associations were observed for obstetrics and gynaecology (physicians: F = 46.66, P &lt; 0.001; facilities: F = 16.34, P &lt; 0.001), psychiatry (physicians: F = 20.89, P &lt; 0.001), and anaesthesiology (facilities: F = 20.34, P &lt; 0.001).</w:t>
      </w:r>
    </w:p>
    <w:p>
      <w:pPr>
        <w:spacing w:after="120" w:before="240" w:line="480" w:lineRule="auto"/>
      </w:pPr>
      <w:r>
        <w:rPr>
          <w:rFonts w:ascii="Times New Roman" w:hAnsi="Times New Roman"/>
          <w:b/>
          <w:sz w:val="20"/>
        </w:rPr>
        <w:t>Table 1. Granger causality test results for litigation data (12 specialties × 2 outcomes). Forward: incidents → workforce; Reverse: workforce → incidents. *P &lt; 0.05.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Specialty</w:t>
            </w:r>
          </w:p>
        </w:tc>
        <w:tc>
          <w:tcPr>
            <w:tcW w:type="dxa" w:w="1170"/>
          </w:tcPr>
          <w:p>
            <w:pPr>
              <w:jc w:val="center"/>
            </w:pPr>
            <w:r/>
            <w:r>
              <w:rPr>
                <w:rFonts w:ascii="Times New Roman" w:hAnsi="Times New Roman"/>
                <w:b/>
                <w:sz w:val="18"/>
              </w:rPr>
              <w:t>Outcome</w:t>
            </w:r>
          </w:p>
        </w:tc>
        <w:tc>
          <w:tcPr>
            <w:tcW w:type="dxa" w:w="1170"/>
          </w:tcPr>
          <w:p>
            <w:pPr>
              <w:jc w:val="center"/>
            </w:pPr>
            <w:r/>
            <w:r>
              <w:rPr>
                <w:rFonts w:ascii="Times New Roman" w:hAnsi="Times New Roman"/>
                <w:b/>
                <w:sz w:val="18"/>
              </w:rPr>
              <w:t>VAR lag</w:t>
            </w:r>
          </w:p>
        </w:tc>
        <w:tc>
          <w:tcPr>
            <w:tcW w:type="dxa" w:w="1170"/>
          </w:tcPr>
          <w:p>
            <w:pPr>
              <w:jc w:val="center"/>
            </w:pPr>
            <w:r/>
            <w:r>
              <w:rPr>
                <w:rFonts w:ascii="Times New Roman" w:hAnsi="Times New Roman"/>
                <w:b/>
                <w:sz w:val="18"/>
              </w:rPr>
              <w:t>n</w:t>
            </w:r>
          </w:p>
        </w:tc>
        <w:tc>
          <w:tcPr>
            <w:tcW w:type="dxa" w:w="1170"/>
          </w:tcPr>
          <w:p>
            <w:pPr>
              <w:jc w:val="center"/>
            </w:pPr>
            <w:r/>
            <w:r>
              <w:rPr>
                <w:rFonts w:ascii="Times New Roman" w:hAnsi="Times New Roman"/>
                <w:b/>
                <w:sz w:val="18"/>
              </w:rPr>
              <w:t>Forward F</w:t>
            </w:r>
          </w:p>
        </w:tc>
        <w:tc>
          <w:tcPr>
            <w:tcW w:type="dxa" w:w="1170"/>
          </w:tcPr>
          <w:p>
            <w:pPr>
              <w:jc w:val="center"/>
            </w:pPr>
            <w:r/>
            <w:r>
              <w:rPr>
                <w:rFonts w:ascii="Times New Roman" w:hAnsi="Times New Roman"/>
                <w:b/>
                <w:sz w:val="18"/>
              </w:rPr>
              <w:t>Forward P</w:t>
            </w:r>
          </w:p>
        </w:tc>
        <w:tc>
          <w:tcPr>
            <w:tcW w:type="dxa" w:w="1170"/>
          </w:tcPr>
          <w:p>
            <w:pPr>
              <w:jc w:val="center"/>
            </w:pPr>
            <w:r/>
            <w:r>
              <w:rPr>
                <w:rFonts w:ascii="Times New Roman" w:hAnsi="Times New Roman"/>
                <w:b/>
                <w:sz w:val="18"/>
              </w:rPr>
              <w:t>Reverse F</w:t>
            </w:r>
          </w:p>
        </w:tc>
        <w:tc>
          <w:tcPr>
            <w:tcW w:type="dxa" w:w="1170"/>
          </w:tcPr>
          <w:p>
            <w:pPr>
              <w:jc w:val="center"/>
            </w:pPr>
            <w:r/>
            <w:r>
              <w:rPr>
                <w:rFonts w:ascii="Times New Roman" w:hAnsi="Times New Roman"/>
                <w:b/>
                <w:sz w:val="18"/>
              </w:rPr>
              <w:t>Reverse P</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20.34</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1.81</w:t>
            </w:r>
          </w:p>
        </w:tc>
        <w:tc>
          <w:tcPr>
            <w:tcW w:type="dxa" w:w="1170"/>
          </w:tcPr>
          <w:p>
            <w:pPr>
              <w:jc w:val="center"/>
            </w:pPr>
            <w:r/>
            <w:r>
              <w:rPr>
                <w:rFonts w:ascii="Times New Roman" w:hAnsi="Times New Roman"/>
                <w:sz w:val="18"/>
              </w:rPr>
              <w:t>0.1984</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0.97</w:t>
            </w:r>
          </w:p>
        </w:tc>
        <w:tc>
          <w:tcPr>
            <w:tcW w:type="dxa" w:w="1170"/>
          </w:tcPr>
          <w:p>
            <w:pPr>
              <w:jc w:val="center"/>
            </w:pPr>
            <w:r/>
            <w:r>
              <w:rPr>
                <w:rFonts w:ascii="Times New Roman" w:hAnsi="Times New Roman"/>
                <w:sz w:val="18"/>
              </w:rPr>
              <w:t>0.3395</w:t>
            </w:r>
          </w:p>
        </w:tc>
        <w:tc>
          <w:tcPr>
            <w:tcW w:type="dxa" w:w="1170"/>
          </w:tcPr>
          <w:p>
            <w:pPr>
              <w:jc w:val="center"/>
            </w:pPr>
            <w:r/>
            <w:r>
              <w:rPr>
                <w:rFonts w:ascii="Times New Roman" w:hAnsi="Times New Roman"/>
                <w:sz w:val="18"/>
              </w:rPr>
              <w:t>1.69</w:t>
            </w:r>
          </w:p>
        </w:tc>
        <w:tc>
          <w:tcPr>
            <w:tcW w:type="dxa" w:w="1170"/>
          </w:tcPr>
          <w:p>
            <w:pPr>
              <w:jc w:val="center"/>
            </w:pPr>
            <w:r/>
            <w:r>
              <w:rPr>
                <w:rFonts w:ascii="Times New Roman" w:hAnsi="Times New Roman"/>
                <w:sz w:val="18"/>
              </w:rPr>
              <w:t>0.2117</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4.11</w:t>
            </w:r>
          </w:p>
        </w:tc>
        <w:tc>
          <w:tcPr>
            <w:tcW w:type="dxa" w:w="1170"/>
          </w:tcPr>
          <w:p>
            <w:pPr>
              <w:jc w:val="center"/>
            </w:pPr>
            <w:r/>
            <w:r>
              <w:rPr>
                <w:rFonts w:ascii="Times New Roman" w:hAnsi="Times New Roman"/>
                <w:sz w:val="18"/>
              </w:rPr>
              <w:t>0.0436*</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9.33</w:t>
            </w:r>
          </w:p>
        </w:tc>
        <w:tc>
          <w:tcPr>
            <w:tcW w:type="dxa" w:w="1170"/>
          </w:tcPr>
          <w:p>
            <w:pPr>
              <w:jc w:val="center"/>
            </w:pPr>
            <w:r/>
            <w:r>
              <w:rPr>
                <w:rFonts w:ascii="Times New Roman" w:hAnsi="Times New Roman"/>
                <w:sz w:val="18"/>
              </w:rPr>
              <w:t>0.0076*</w:t>
            </w:r>
          </w:p>
        </w:tc>
        <w:tc>
          <w:tcPr>
            <w:tcW w:type="dxa" w:w="1170"/>
          </w:tcPr>
          <w:p>
            <w:pPr>
              <w:jc w:val="center"/>
            </w:pPr>
            <w:r/>
            <w:r>
              <w:rPr>
                <w:rFonts w:ascii="Times New Roman" w:hAnsi="Times New Roman"/>
                <w:sz w:val="18"/>
              </w:rPr>
              <w:t>4.20</w:t>
            </w:r>
          </w:p>
        </w:tc>
        <w:tc>
          <w:tcPr>
            <w:tcW w:type="dxa" w:w="1170"/>
          </w:tcPr>
          <w:p>
            <w:pPr>
              <w:jc w:val="center"/>
            </w:pPr>
            <w:r/>
            <w:r>
              <w:rPr>
                <w:rFonts w:ascii="Times New Roman" w:hAnsi="Times New Roman"/>
                <w:sz w:val="18"/>
              </w:rPr>
              <w:t>0.0571</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18.03</w:t>
            </w:r>
          </w:p>
        </w:tc>
        <w:tc>
          <w:tcPr>
            <w:tcW w:type="dxa" w:w="1170"/>
          </w:tcPr>
          <w:p>
            <w:pPr>
              <w:jc w:val="center"/>
            </w:pPr>
            <w:r/>
            <w:r>
              <w:rPr>
                <w:rFonts w:ascii="Times New Roman" w:hAnsi="Times New Roman"/>
                <w:sz w:val="18"/>
              </w:rPr>
              <w:t>0.0007*</w:t>
            </w:r>
          </w:p>
        </w:tc>
        <w:tc>
          <w:tcPr>
            <w:tcW w:type="dxa" w:w="1170"/>
          </w:tcPr>
          <w:p>
            <w:pPr>
              <w:jc w:val="center"/>
            </w:pPr>
            <w:r/>
            <w:r>
              <w:rPr>
                <w:rFonts w:ascii="Times New Roman" w:hAnsi="Times New Roman"/>
                <w:sz w:val="18"/>
              </w:rPr>
              <w:t>1.68</w:t>
            </w:r>
          </w:p>
        </w:tc>
        <w:tc>
          <w:tcPr>
            <w:tcW w:type="dxa" w:w="1170"/>
          </w:tcPr>
          <w:p>
            <w:pPr>
              <w:jc w:val="center"/>
            </w:pPr>
            <w:r/>
            <w:r>
              <w:rPr>
                <w:rFonts w:ascii="Times New Roman" w:hAnsi="Times New Roman"/>
                <w:sz w:val="18"/>
              </w:rPr>
              <w:t>0.2406</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7.77</w:t>
            </w:r>
          </w:p>
        </w:tc>
        <w:tc>
          <w:tcPr>
            <w:tcW w:type="dxa" w:w="1170"/>
          </w:tcPr>
          <w:p>
            <w:pPr>
              <w:jc w:val="center"/>
            </w:pPr>
            <w:r/>
            <w:r>
              <w:rPr>
                <w:rFonts w:ascii="Times New Roman" w:hAnsi="Times New Roman"/>
                <w:sz w:val="18"/>
              </w:rPr>
              <w:t>0.0060*</w:t>
            </w:r>
          </w:p>
        </w:tc>
        <w:tc>
          <w:tcPr>
            <w:tcW w:type="dxa" w:w="1170"/>
          </w:tcPr>
          <w:p>
            <w:pPr>
              <w:jc w:val="center"/>
            </w:pPr>
            <w:r/>
            <w:r>
              <w:rPr>
                <w:rFonts w:ascii="Times New Roman" w:hAnsi="Times New Roman"/>
                <w:sz w:val="18"/>
              </w:rPr>
              <w:t>2.55</w:t>
            </w:r>
          </w:p>
        </w:tc>
        <w:tc>
          <w:tcPr>
            <w:tcW w:type="dxa" w:w="1170"/>
          </w:tcPr>
          <w:p>
            <w:pPr>
              <w:jc w:val="center"/>
            </w:pPr>
            <w:r/>
            <w:r>
              <w:rPr>
                <w:rFonts w:ascii="Times New Roman" w:hAnsi="Times New Roman"/>
                <w:sz w:val="18"/>
              </w:rPr>
              <w:t>0.1299</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1.03</w:t>
            </w:r>
          </w:p>
        </w:tc>
        <w:tc>
          <w:tcPr>
            <w:tcW w:type="dxa" w:w="1170"/>
          </w:tcPr>
          <w:p>
            <w:pPr>
              <w:jc w:val="center"/>
            </w:pPr>
            <w:r/>
            <w:r>
              <w:rPr>
                <w:rFonts w:ascii="Times New Roman" w:hAnsi="Times New Roman"/>
                <w:sz w:val="18"/>
              </w:rPr>
              <w:t>0.3260</w:t>
            </w:r>
          </w:p>
        </w:tc>
        <w:tc>
          <w:tcPr>
            <w:tcW w:type="dxa" w:w="1170"/>
          </w:tcPr>
          <w:p>
            <w:pPr>
              <w:jc w:val="center"/>
            </w:pPr>
            <w:r/>
            <w:r>
              <w:rPr>
                <w:rFonts w:ascii="Times New Roman" w:hAnsi="Times New Roman"/>
                <w:sz w:val="18"/>
              </w:rPr>
              <w:t>9.23</w:t>
            </w:r>
          </w:p>
        </w:tc>
        <w:tc>
          <w:tcPr>
            <w:tcW w:type="dxa" w:w="1170"/>
          </w:tcPr>
          <w:p>
            <w:pPr>
              <w:jc w:val="center"/>
            </w:pPr>
            <w:r/>
            <w:r>
              <w:rPr>
                <w:rFonts w:ascii="Times New Roman" w:hAnsi="Times New Roman"/>
                <w:sz w:val="18"/>
              </w:rPr>
              <w:t>0.0083*</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7.74</w:t>
            </w:r>
          </w:p>
        </w:tc>
        <w:tc>
          <w:tcPr>
            <w:tcW w:type="dxa" w:w="1170"/>
          </w:tcPr>
          <w:p>
            <w:pPr>
              <w:jc w:val="center"/>
            </w:pPr>
            <w:r/>
            <w:r>
              <w:rPr>
                <w:rFonts w:ascii="Times New Roman" w:hAnsi="Times New Roman"/>
                <w:sz w:val="18"/>
              </w:rPr>
              <w:t>0.0133*</w:t>
            </w:r>
          </w:p>
        </w:tc>
        <w:tc>
          <w:tcPr>
            <w:tcW w:type="dxa" w:w="1170"/>
          </w:tcPr>
          <w:p>
            <w:pPr>
              <w:jc w:val="center"/>
            </w:pPr>
            <w:r/>
            <w:r>
              <w:rPr>
                <w:rFonts w:ascii="Times New Roman" w:hAnsi="Times New Roman"/>
                <w:sz w:val="18"/>
              </w:rPr>
              <w:t>1.97</w:t>
            </w:r>
          </w:p>
        </w:tc>
        <w:tc>
          <w:tcPr>
            <w:tcW w:type="dxa" w:w="1170"/>
          </w:tcPr>
          <w:p>
            <w:pPr>
              <w:jc w:val="center"/>
            </w:pPr>
            <w:r/>
            <w:r>
              <w:rPr>
                <w:rFonts w:ascii="Times New Roman" w:hAnsi="Times New Roman"/>
                <w:sz w:val="18"/>
              </w:rPr>
              <w:t>0.1824</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16.34</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13.81</w:t>
            </w:r>
          </w:p>
        </w:tc>
        <w:tc>
          <w:tcPr>
            <w:tcW w:type="dxa" w:w="1170"/>
          </w:tcPr>
          <w:p>
            <w:pPr>
              <w:jc w:val="center"/>
            </w:pPr>
            <w:r/>
            <w:r>
              <w:rPr>
                <w:rFonts w:ascii="Times New Roman" w:hAnsi="Times New Roman"/>
                <w:sz w:val="18"/>
              </w:rPr>
              <w:t>0.0021*</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46.66</w:t>
            </w:r>
          </w:p>
        </w:tc>
        <w:tc>
          <w:tcPr>
            <w:tcW w:type="dxa" w:w="1170"/>
          </w:tcPr>
          <w:p>
            <w:pPr>
              <w:jc w:val="center"/>
            </w:pPr>
            <w:r/>
            <w:r>
              <w:rPr>
                <w:rFonts w:ascii="Times New Roman" w:hAnsi="Times New Roman"/>
                <w:sz w:val="18"/>
              </w:rPr>
              <w:t>0.0000*</w:t>
            </w:r>
          </w:p>
        </w:tc>
        <w:tc>
          <w:tcPr>
            <w:tcW w:type="dxa" w:w="1170"/>
          </w:tcPr>
          <w:p>
            <w:pPr>
              <w:jc w:val="center"/>
            </w:pPr>
            <w:r/>
            <w:r>
              <w:rPr>
                <w:rFonts w:ascii="Times New Roman" w:hAnsi="Times New Roman"/>
                <w:sz w:val="18"/>
              </w:rPr>
              <w:t>6.13</w:t>
            </w:r>
          </w:p>
        </w:tc>
        <w:tc>
          <w:tcPr>
            <w:tcW w:type="dxa" w:w="1170"/>
          </w:tcPr>
          <w:p>
            <w:pPr>
              <w:jc w:val="center"/>
            </w:pPr>
            <w:r/>
            <w:r>
              <w:rPr>
                <w:rFonts w:ascii="Times New Roman" w:hAnsi="Times New Roman"/>
                <w:sz w:val="18"/>
              </w:rPr>
              <w:t>0.0123*</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6.02</w:t>
            </w:r>
          </w:p>
        </w:tc>
        <w:tc>
          <w:tcPr>
            <w:tcW w:type="dxa" w:w="1170"/>
          </w:tcPr>
          <w:p>
            <w:pPr>
              <w:jc w:val="center"/>
            </w:pPr>
            <w:r/>
            <w:r>
              <w:rPr>
                <w:rFonts w:ascii="Times New Roman" w:hAnsi="Times New Roman"/>
                <w:sz w:val="18"/>
              </w:rPr>
              <w:t>0.0268*</w:t>
            </w:r>
          </w:p>
        </w:tc>
        <w:tc>
          <w:tcPr>
            <w:tcW w:type="dxa" w:w="1170"/>
          </w:tcPr>
          <w:p>
            <w:pPr>
              <w:jc w:val="center"/>
            </w:pPr>
            <w:r/>
            <w:r>
              <w:rPr>
                <w:rFonts w:ascii="Times New Roman" w:hAnsi="Times New Roman"/>
                <w:sz w:val="18"/>
              </w:rPr>
              <w:t>4.69</w:t>
            </w:r>
          </w:p>
        </w:tc>
        <w:tc>
          <w:tcPr>
            <w:tcW w:type="dxa" w:w="1170"/>
          </w:tcPr>
          <w:p>
            <w:pPr>
              <w:jc w:val="center"/>
            </w:pPr>
            <w:r/>
            <w:r>
              <w:rPr>
                <w:rFonts w:ascii="Times New Roman" w:hAnsi="Times New Roman"/>
                <w:sz w:val="18"/>
              </w:rPr>
              <w:t>0.0469*</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4.95</w:t>
            </w:r>
          </w:p>
        </w:tc>
        <w:tc>
          <w:tcPr>
            <w:tcW w:type="dxa" w:w="1170"/>
          </w:tcPr>
          <w:p>
            <w:pPr>
              <w:jc w:val="center"/>
            </w:pPr>
            <w:r/>
            <w:r>
              <w:rPr>
                <w:rFonts w:ascii="Times New Roman" w:hAnsi="Times New Roman"/>
                <w:sz w:val="18"/>
              </w:rPr>
              <w:t>0.0233*</w:t>
            </w:r>
          </w:p>
        </w:tc>
        <w:tc>
          <w:tcPr>
            <w:tcW w:type="dxa" w:w="1170"/>
          </w:tcPr>
          <w:p>
            <w:pPr>
              <w:jc w:val="center"/>
            </w:pPr>
            <w:r/>
            <w:r>
              <w:rPr>
                <w:rFonts w:ascii="Times New Roman" w:hAnsi="Times New Roman"/>
                <w:sz w:val="18"/>
              </w:rPr>
              <w:t>2.51</w:t>
            </w:r>
          </w:p>
        </w:tc>
        <w:tc>
          <w:tcPr>
            <w:tcW w:type="dxa" w:w="1170"/>
          </w:tcPr>
          <w:p>
            <w:pPr>
              <w:jc w:val="center"/>
            </w:pPr>
            <w:r/>
            <w:r>
              <w:rPr>
                <w:rFonts w:ascii="Times New Roman" w:hAnsi="Times New Roman"/>
                <w:sz w:val="18"/>
              </w:rPr>
              <w:t>0.1324</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9.13</w:t>
            </w:r>
          </w:p>
        </w:tc>
        <w:tc>
          <w:tcPr>
            <w:tcW w:type="dxa" w:w="1170"/>
          </w:tcPr>
          <w:p>
            <w:pPr>
              <w:jc w:val="center"/>
            </w:pPr>
            <w:r/>
            <w:r>
              <w:rPr>
                <w:rFonts w:ascii="Times New Roman" w:hAnsi="Times New Roman"/>
                <w:sz w:val="18"/>
              </w:rPr>
              <w:t>0.0043*</w:t>
            </w:r>
          </w:p>
        </w:tc>
        <w:tc>
          <w:tcPr>
            <w:tcW w:type="dxa" w:w="1170"/>
          </w:tcPr>
          <w:p>
            <w:pPr>
              <w:jc w:val="center"/>
            </w:pPr>
            <w:r/>
            <w:r>
              <w:rPr>
                <w:rFonts w:ascii="Times New Roman" w:hAnsi="Times New Roman"/>
                <w:sz w:val="18"/>
              </w:rPr>
              <w:t>1.55</w:t>
            </w:r>
          </w:p>
        </w:tc>
        <w:tc>
          <w:tcPr>
            <w:tcW w:type="dxa" w:w="1170"/>
          </w:tcPr>
          <w:p>
            <w:pPr>
              <w:jc w:val="center"/>
            </w:pPr>
            <w:r/>
            <w:r>
              <w:rPr>
                <w:rFonts w:ascii="Times New Roman" w:hAnsi="Times New Roman"/>
                <w:sz w:val="18"/>
              </w:rPr>
              <w:t>0.2670</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15.21</w:t>
            </w:r>
          </w:p>
        </w:tc>
        <w:tc>
          <w:tcPr>
            <w:tcW w:type="dxa" w:w="1170"/>
          </w:tcPr>
          <w:p>
            <w:pPr>
              <w:jc w:val="center"/>
            </w:pPr>
            <w:r/>
            <w:r>
              <w:rPr>
                <w:rFonts w:ascii="Times New Roman" w:hAnsi="Times New Roman"/>
                <w:sz w:val="18"/>
              </w:rPr>
              <w:t>0.0013*</w:t>
            </w:r>
          </w:p>
        </w:tc>
        <w:tc>
          <w:tcPr>
            <w:tcW w:type="dxa" w:w="1170"/>
          </w:tcPr>
          <w:p>
            <w:pPr>
              <w:jc w:val="center"/>
            </w:pPr>
            <w:r/>
            <w:r>
              <w:rPr>
                <w:rFonts w:ascii="Times New Roman" w:hAnsi="Times New Roman"/>
                <w:sz w:val="18"/>
              </w:rPr>
              <w:t>3.21</w:t>
            </w:r>
          </w:p>
        </w:tc>
        <w:tc>
          <w:tcPr>
            <w:tcW w:type="dxa" w:w="1170"/>
          </w:tcPr>
          <w:p>
            <w:pPr>
              <w:jc w:val="center"/>
            </w:pPr>
            <w:r/>
            <w:r>
              <w:rPr>
                <w:rFonts w:ascii="Times New Roman" w:hAnsi="Times New Roman"/>
                <w:sz w:val="18"/>
              </w:rPr>
              <w:t>0.0702</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8.38</w:t>
            </w:r>
          </w:p>
        </w:tc>
        <w:tc>
          <w:tcPr>
            <w:tcW w:type="dxa" w:w="1170"/>
          </w:tcPr>
          <w:p>
            <w:pPr>
              <w:jc w:val="center"/>
            </w:pPr>
            <w:r/>
            <w:r>
              <w:rPr>
                <w:rFonts w:ascii="Times New Roman" w:hAnsi="Times New Roman"/>
                <w:sz w:val="18"/>
              </w:rPr>
              <w:t>0.0111*</w:t>
            </w:r>
          </w:p>
        </w:tc>
        <w:tc>
          <w:tcPr>
            <w:tcW w:type="dxa" w:w="1170"/>
          </w:tcPr>
          <w:p>
            <w:pPr>
              <w:jc w:val="center"/>
            </w:pPr>
            <w:r/>
            <w:r>
              <w:rPr>
                <w:rFonts w:ascii="Times New Roman" w:hAnsi="Times New Roman"/>
                <w:sz w:val="18"/>
              </w:rPr>
              <w:t>7.12</w:t>
            </w:r>
          </w:p>
        </w:tc>
        <w:tc>
          <w:tcPr>
            <w:tcW w:type="dxa" w:w="1170"/>
          </w:tcPr>
          <w:p>
            <w:pPr>
              <w:jc w:val="center"/>
            </w:pPr>
            <w:r/>
            <w:r>
              <w:rPr>
                <w:rFonts w:ascii="Times New Roman" w:hAnsi="Times New Roman"/>
                <w:sz w:val="18"/>
              </w:rPr>
              <w:t>0.0175*</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1.85</w:t>
            </w:r>
          </w:p>
        </w:tc>
        <w:tc>
          <w:tcPr>
            <w:tcW w:type="dxa" w:w="1170"/>
          </w:tcPr>
          <w:p>
            <w:pPr>
              <w:jc w:val="center"/>
            </w:pPr>
            <w:r/>
            <w:r>
              <w:rPr>
                <w:rFonts w:ascii="Times New Roman" w:hAnsi="Times New Roman"/>
                <w:sz w:val="18"/>
              </w:rPr>
              <w:t>0.2245</w:t>
            </w:r>
          </w:p>
        </w:tc>
        <w:tc>
          <w:tcPr>
            <w:tcW w:type="dxa" w:w="1170"/>
          </w:tcPr>
          <w:p>
            <w:pPr>
              <w:jc w:val="center"/>
            </w:pPr>
            <w:r/>
            <w:r>
              <w:rPr>
                <w:rFonts w:ascii="Times New Roman" w:hAnsi="Times New Roman"/>
                <w:sz w:val="18"/>
              </w:rPr>
              <w:t>1.68</w:t>
            </w:r>
          </w:p>
        </w:tc>
        <w:tc>
          <w:tcPr>
            <w:tcW w:type="dxa" w:w="1170"/>
          </w:tcPr>
          <w:p>
            <w:pPr>
              <w:jc w:val="center"/>
            </w:pPr>
            <w:r/>
            <w:r>
              <w:rPr>
                <w:rFonts w:ascii="Times New Roman" w:hAnsi="Times New Roman"/>
                <w:sz w:val="18"/>
              </w:rPr>
              <w:t>0.2139</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12.35</w:t>
            </w:r>
          </w:p>
        </w:tc>
        <w:tc>
          <w:tcPr>
            <w:tcW w:type="dxa" w:w="1170"/>
          </w:tcPr>
          <w:p>
            <w:pPr>
              <w:jc w:val="center"/>
            </w:pPr>
            <w:r/>
            <w:r>
              <w:rPr>
                <w:rFonts w:ascii="Times New Roman" w:hAnsi="Times New Roman"/>
                <w:sz w:val="18"/>
              </w:rPr>
              <w:t>0.0015*</w:t>
            </w:r>
          </w:p>
        </w:tc>
        <w:tc>
          <w:tcPr>
            <w:tcW w:type="dxa" w:w="1170"/>
          </w:tcPr>
          <w:p>
            <w:pPr>
              <w:jc w:val="center"/>
            </w:pPr>
            <w:r/>
            <w:r>
              <w:rPr>
                <w:rFonts w:ascii="Times New Roman" w:hAnsi="Times New Roman"/>
                <w:sz w:val="18"/>
              </w:rPr>
              <w:t>23.92</w:t>
            </w:r>
          </w:p>
        </w:tc>
        <w:tc>
          <w:tcPr>
            <w:tcW w:type="dxa" w:w="1170"/>
          </w:tcPr>
          <w:p>
            <w:pPr>
              <w:jc w:val="center"/>
            </w:pPr>
            <w:r/>
            <w:r>
              <w:rPr>
                <w:rFonts w:ascii="Times New Roman" w:hAnsi="Times New Roman"/>
                <w:sz w:val="18"/>
              </w:rPr>
              <w:t>0.0002*</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15.48</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4.15</w:t>
            </w:r>
          </w:p>
        </w:tc>
        <w:tc>
          <w:tcPr>
            <w:tcW w:type="dxa" w:w="1170"/>
          </w:tcPr>
          <w:p>
            <w:pPr>
              <w:jc w:val="center"/>
            </w:pPr>
            <w:r/>
            <w:r>
              <w:rPr>
                <w:rFonts w:ascii="Times New Roman" w:hAnsi="Times New Roman"/>
                <w:sz w:val="18"/>
              </w:rPr>
              <w:t>0.0404*</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8.20</w:t>
            </w:r>
          </w:p>
        </w:tc>
        <w:tc>
          <w:tcPr>
            <w:tcW w:type="dxa" w:w="1170"/>
          </w:tcPr>
          <w:p>
            <w:pPr>
              <w:jc w:val="center"/>
            </w:pPr>
            <w:r/>
            <w:r>
              <w:rPr>
                <w:rFonts w:ascii="Times New Roman" w:hAnsi="Times New Roman"/>
                <w:sz w:val="18"/>
              </w:rPr>
              <w:t>0.0118*</w:t>
            </w:r>
          </w:p>
        </w:tc>
        <w:tc>
          <w:tcPr>
            <w:tcW w:type="dxa" w:w="1170"/>
          </w:tcPr>
          <w:p>
            <w:pPr>
              <w:jc w:val="center"/>
            </w:pPr>
            <w:r/>
            <w:r>
              <w:rPr>
                <w:rFonts w:ascii="Times New Roman" w:hAnsi="Times New Roman"/>
                <w:sz w:val="18"/>
              </w:rPr>
              <w:t>2.08</w:t>
            </w:r>
          </w:p>
        </w:tc>
        <w:tc>
          <w:tcPr>
            <w:tcW w:type="dxa" w:w="1170"/>
          </w:tcPr>
          <w:p>
            <w:pPr>
              <w:jc w:val="center"/>
            </w:pPr>
            <w:r/>
            <w:r>
              <w:rPr>
                <w:rFonts w:ascii="Times New Roman" w:hAnsi="Times New Roman"/>
                <w:sz w:val="18"/>
              </w:rPr>
              <w:t>0.1696</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19.90</w:t>
            </w:r>
          </w:p>
        </w:tc>
        <w:tc>
          <w:tcPr>
            <w:tcW w:type="dxa" w:w="1170"/>
          </w:tcPr>
          <w:p>
            <w:pPr>
              <w:jc w:val="center"/>
            </w:pPr>
            <w:r/>
            <w:r>
              <w:rPr>
                <w:rFonts w:ascii="Times New Roman" w:hAnsi="Times New Roman"/>
                <w:sz w:val="18"/>
              </w:rPr>
              <w:t>0.0006*</w:t>
            </w:r>
          </w:p>
        </w:tc>
        <w:tc>
          <w:tcPr>
            <w:tcW w:type="dxa" w:w="1170"/>
          </w:tcPr>
          <w:p>
            <w:pPr>
              <w:jc w:val="center"/>
            </w:pPr>
            <w:r/>
            <w:r>
              <w:rPr>
                <w:rFonts w:ascii="Times New Roman" w:hAnsi="Times New Roman"/>
                <w:sz w:val="18"/>
              </w:rPr>
              <w:t>2.67</w:t>
            </w:r>
          </w:p>
        </w:tc>
        <w:tc>
          <w:tcPr>
            <w:tcW w:type="dxa" w:w="1170"/>
          </w:tcPr>
          <w:p>
            <w:pPr>
              <w:jc w:val="center"/>
            </w:pPr>
            <w:r/>
            <w:r>
              <w:rPr>
                <w:rFonts w:ascii="Times New Roman" w:hAnsi="Times New Roman"/>
                <w:sz w:val="18"/>
              </w:rPr>
              <w:t>0.1048</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9.48</w:t>
            </w:r>
          </w:p>
        </w:tc>
        <w:tc>
          <w:tcPr>
            <w:tcW w:type="dxa" w:w="1170"/>
          </w:tcPr>
          <w:p>
            <w:pPr>
              <w:jc w:val="center"/>
            </w:pPr>
            <w:r/>
            <w:r>
              <w:rPr>
                <w:rFonts w:ascii="Times New Roman" w:hAnsi="Times New Roman"/>
                <w:sz w:val="18"/>
              </w:rPr>
              <w:t>0.0038*</w:t>
            </w:r>
          </w:p>
        </w:tc>
        <w:tc>
          <w:tcPr>
            <w:tcW w:type="dxa" w:w="1170"/>
          </w:tcPr>
          <w:p>
            <w:pPr>
              <w:jc w:val="center"/>
            </w:pPr>
            <w:r/>
            <w:r>
              <w:rPr>
                <w:rFonts w:ascii="Times New Roman" w:hAnsi="Times New Roman"/>
                <w:sz w:val="18"/>
              </w:rPr>
              <w:t>4.13</w:t>
            </w:r>
          </w:p>
        </w:tc>
        <w:tc>
          <w:tcPr>
            <w:tcW w:type="dxa" w:w="1170"/>
          </w:tcPr>
          <w:p>
            <w:pPr>
              <w:jc w:val="center"/>
            </w:pPr>
            <w:r/>
            <w:r>
              <w:rPr>
                <w:rFonts w:ascii="Times New Roman" w:hAnsi="Times New Roman"/>
                <w:sz w:val="18"/>
              </w:rPr>
              <w:t>0.0602</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20.89</w:t>
            </w:r>
          </w:p>
        </w:tc>
        <w:tc>
          <w:tcPr>
            <w:tcW w:type="dxa" w:w="1170"/>
          </w:tcPr>
          <w:p>
            <w:pPr>
              <w:jc w:val="center"/>
            </w:pPr>
            <w:r/>
            <w:r>
              <w:rPr>
                <w:rFonts w:ascii="Times New Roman" w:hAnsi="Times New Roman"/>
                <w:sz w:val="18"/>
              </w:rPr>
              <w:t>0.0001*</w:t>
            </w:r>
          </w:p>
        </w:tc>
        <w:tc>
          <w:tcPr>
            <w:tcW w:type="dxa" w:w="1170"/>
          </w:tcPr>
          <w:p>
            <w:pPr>
              <w:jc w:val="center"/>
            </w:pPr>
            <w:r/>
            <w:r>
              <w:rPr>
                <w:rFonts w:ascii="Times New Roman" w:hAnsi="Times New Roman"/>
                <w:sz w:val="18"/>
              </w:rPr>
              <w:t>3.36</w:t>
            </w:r>
          </w:p>
        </w:tc>
        <w:tc>
          <w:tcPr>
            <w:tcW w:type="dxa" w:w="1170"/>
          </w:tcPr>
          <w:p>
            <w:pPr>
              <w:jc w:val="center"/>
            </w:pPr>
            <w:r/>
            <w:r>
              <w:rPr>
                <w:rFonts w:ascii="Times New Roman" w:hAnsi="Times New Roman"/>
                <w:sz w:val="18"/>
              </w:rPr>
              <w:t>0.0856</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1.39</w:t>
            </w:r>
          </w:p>
        </w:tc>
        <w:tc>
          <w:tcPr>
            <w:tcW w:type="dxa" w:w="1170"/>
          </w:tcPr>
          <w:p>
            <w:pPr>
              <w:jc w:val="center"/>
            </w:pPr>
            <w:r/>
            <w:r>
              <w:rPr>
                <w:rFonts w:ascii="Times New Roman" w:hAnsi="Times New Roman"/>
                <w:sz w:val="18"/>
              </w:rPr>
              <w:t>0.2565</w:t>
            </w:r>
          </w:p>
        </w:tc>
        <w:tc>
          <w:tcPr>
            <w:tcW w:type="dxa" w:w="1170"/>
          </w:tcPr>
          <w:p>
            <w:pPr>
              <w:jc w:val="center"/>
            </w:pPr>
            <w:r/>
            <w:r>
              <w:rPr>
                <w:rFonts w:ascii="Times New Roman" w:hAnsi="Times New Roman"/>
                <w:sz w:val="18"/>
              </w:rPr>
              <w:t>3.66</w:t>
            </w:r>
          </w:p>
        </w:tc>
        <w:tc>
          <w:tcPr>
            <w:tcW w:type="dxa" w:w="1170"/>
          </w:tcPr>
          <w:p>
            <w:pPr>
              <w:jc w:val="center"/>
            </w:pPr>
            <w:r/>
            <w:r>
              <w:rPr>
                <w:rFonts w:ascii="Times New Roman" w:hAnsi="Times New Roman"/>
                <w:sz w:val="18"/>
              </w:rPr>
              <w:t>0.0749</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1.37</w:t>
            </w:r>
          </w:p>
        </w:tc>
        <w:tc>
          <w:tcPr>
            <w:tcW w:type="dxa" w:w="1170"/>
          </w:tcPr>
          <w:p>
            <w:pPr>
              <w:jc w:val="center"/>
            </w:pPr>
            <w:r/>
            <w:r>
              <w:rPr>
                <w:rFonts w:ascii="Times New Roman" w:hAnsi="Times New Roman"/>
                <w:sz w:val="18"/>
              </w:rPr>
              <w:t>0.2595</w:t>
            </w:r>
          </w:p>
        </w:tc>
        <w:tc>
          <w:tcPr>
            <w:tcW w:type="dxa" w:w="1170"/>
          </w:tcPr>
          <w:p>
            <w:pPr>
              <w:jc w:val="center"/>
            </w:pPr>
            <w:r/>
            <w:r>
              <w:rPr>
                <w:rFonts w:ascii="Times New Roman" w:hAnsi="Times New Roman"/>
                <w:sz w:val="18"/>
              </w:rPr>
              <w:t>1.06</w:t>
            </w:r>
          </w:p>
        </w:tc>
        <w:tc>
          <w:tcPr>
            <w:tcW w:type="dxa" w:w="1170"/>
          </w:tcPr>
          <w:p>
            <w:pPr>
              <w:jc w:val="center"/>
            </w:pPr>
            <w:r/>
            <w:r>
              <w:rPr>
                <w:rFonts w:ascii="Times New Roman" w:hAnsi="Times New Roman"/>
                <w:sz w:val="18"/>
              </w:rPr>
              <w:t>0.3182</w:t>
            </w:r>
          </w:p>
        </w:tc>
      </w:tr>
    </w:tbl>
    <w:p/>
    <w:p>
      <w:pPr>
        <w:spacing w:after="120" w:line="480" w:lineRule="auto"/>
      </w:pPr>
      <w:r>
        <w:rPr>
          <w:rFonts w:ascii="Times New Roman" w:hAnsi="Times New Roman"/>
          <w:b w:val="0"/>
          <w:i w:val="0"/>
          <w:sz w:val="24"/>
        </w:rPr>
        <w:t>Significant reverse Granger causality (workforce → incidents) was observed in 8 litigation-based models, indicating bidirectional temporal dynamics. Seven specialty–outcome combinations showed significant causality in both directions: obstetrics and gynaecology (physicians and facilities), paediatrics (physicians and facilities), general surgery (JMSR–physicians), ophthalmology (facilities), and otolaryngology (facilities). This bidirectional pattern is consistent with a reinforcing cycle in which safety incidents deter physician recruitment, leading to workforce shortages that in turn increase incident risk.</w:t>
      </w:r>
    </w:p>
    <w:p>
      <w:pPr>
        <w:spacing w:after="120" w:line="480" w:lineRule="auto"/>
      </w:pPr>
      <w:r>
        <w:rPr>
          <w:rFonts w:ascii="Times New Roman" w:hAnsi="Times New Roman"/>
          <w:b w:val="0"/>
          <w:i w:val="0"/>
          <w:sz w:val="24"/>
        </w:rPr>
        <w:t>In the JMSR-based sensitivity analysis (Table 2), only 2 of 24 tests showed significant forward Granger causality, likely reflecting the shorter series (10–11 observations) and consequent reduced statistical power. However, general surgery (F = 23.04, P = 0.003) and psychiatry (F = 9.48, P = 0.022) reached significance even with this limited sample.</w:t>
      </w:r>
    </w:p>
    <w:p>
      <w:pPr>
        <w:spacing w:after="120" w:before="240" w:line="480" w:lineRule="auto"/>
      </w:pPr>
      <w:r>
        <w:rPr>
          <w:rFonts w:ascii="Times New Roman" w:hAnsi="Times New Roman"/>
          <w:b/>
          <w:sz w:val="20"/>
        </w:rPr>
        <w:t>Table 2. Granger causality test results for JMSR data (sensitivity analysis, 10–11 observations). *P &lt; 0.05.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Specialty</w:t>
            </w:r>
          </w:p>
        </w:tc>
        <w:tc>
          <w:tcPr>
            <w:tcW w:type="dxa" w:w="1170"/>
          </w:tcPr>
          <w:p>
            <w:pPr>
              <w:jc w:val="center"/>
            </w:pPr>
            <w:r/>
            <w:r>
              <w:rPr>
                <w:rFonts w:ascii="Times New Roman" w:hAnsi="Times New Roman"/>
                <w:b/>
                <w:sz w:val="18"/>
              </w:rPr>
              <w:t>Outcome</w:t>
            </w:r>
          </w:p>
        </w:tc>
        <w:tc>
          <w:tcPr>
            <w:tcW w:type="dxa" w:w="1170"/>
          </w:tcPr>
          <w:p>
            <w:pPr>
              <w:jc w:val="center"/>
            </w:pPr>
            <w:r/>
            <w:r>
              <w:rPr>
                <w:rFonts w:ascii="Times New Roman" w:hAnsi="Times New Roman"/>
                <w:b/>
                <w:sz w:val="18"/>
              </w:rPr>
              <w:t>VAR lag</w:t>
            </w:r>
          </w:p>
        </w:tc>
        <w:tc>
          <w:tcPr>
            <w:tcW w:type="dxa" w:w="1170"/>
          </w:tcPr>
          <w:p>
            <w:pPr>
              <w:jc w:val="center"/>
            </w:pPr>
            <w:r/>
            <w:r>
              <w:rPr>
                <w:rFonts w:ascii="Times New Roman" w:hAnsi="Times New Roman"/>
                <w:b/>
                <w:sz w:val="18"/>
              </w:rPr>
              <w:t>n</w:t>
            </w:r>
          </w:p>
        </w:tc>
        <w:tc>
          <w:tcPr>
            <w:tcW w:type="dxa" w:w="1170"/>
          </w:tcPr>
          <w:p>
            <w:pPr>
              <w:jc w:val="center"/>
            </w:pPr>
            <w:r/>
            <w:r>
              <w:rPr>
                <w:rFonts w:ascii="Times New Roman" w:hAnsi="Times New Roman"/>
                <w:b/>
                <w:sz w:val="18"/>
              </w:rPr>
              <w:t>Forward F</w:t>
            </w:r>
          </w:p>
        </w:tc>
        <w:tc>
          <w:tcPr>
            <w:tcW w:type="dxa" w:w="1170"/>
          </w:tcPr>
          <w:p>
            <w:pPr>
              <w:jc w:val="center"/>
            </w:pPr>
            <w:r/>
            <w:r>
              <w:rPr>
                <w:rFonts w:ascii="Times New Roman" w:hAnsi="Times New Roman"/>
                <w:b/>
                <w:sz w:val="18"/>
              </w:rPr>
              <w:t>Forward P</w:t>
            </w:r>
          </w:p>
        </w:tc>
        <w:tc>
          <w:tcPr>
            <w:tcW w:type="dxa" w:w="1170"/>
          </w:tcPr>
          <w:p>
            <w:pPr>
              <w:jc w:val="center"/>
            </w:pPr>
            <w:r/>
            <w:r>
              <w:rPr>
                <w:rFonts w:ascii="Times New Roman" w:hAnsi="Times New Roman"/>
                <w:b/>
                <w:sz w:val="18"/>
              </w:rPr>
              <w:t>Reverse F</w:t>
            </w:r>
          </w:p>
        </w:tc>
        <w:tc>
          <w:tcPr>
            <w:tcW w:type="dxa" w:w="1170"/>
          </w:tcPr>
          <w:p>
            <w:pPr>
              <w:jc w:val="center"/>
            </w:pPr>
            <w:r/>
            <w:r>
              <w:rPr>
                <w:rFonts w:ascii="Times New Roman" w:hAnsi="Times New Roman"/>
                <w:b/>
                <w:sz w:val="18"/>
              </w:rPr>
              <w:t>Reverse P</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0.87</w:t>
            </w:r>
          </w:p>
        </w:tc>
        <w:tc>
          <w:tcPr>
            <w:tcW w:type="dxa" w:w="1170"/>
          </w:tcPr>
          <w:p>
            <w:pPr>
              <w:jc w:val="center"/>
            </w:pPr>
            <w:r/>
            <w:r>
              <w:rPr>
                <w:rFonts w:ascii="Times New Roman" w:hAnsi="Times New Roman"/>
                <w:sz w:val="18"/>
              </w:rPr>
              <w:t>0.5020</w:t>
            </w:r>
          </w:p>
        </w:tc>
        <w:tc>
          <w:tcPr>
            <w:tcW w:type="dxa" w:w="1170"/>
          </w:tcPr>
          <w:p>
            <w:pPr>
              <w:jc w:val="center"/>
            </w:pPr>
            <w:r/>
            <w:r>
              <w:rPr>
                <w:rFonts w:ascii="Times New Roman" w:hAnsi="Times New Roman"/>
                <w:sz w:val="18"/>
              </w:rPr>
              <w:t>2.53</w:t>
            </w:r>
          </w:p>
        </w:tc>
        <w:tc>
          <w:tcPr>
            <w:tcW w:type="dxa" w:w="1170"/>
          </w:tcPr>
          <w:p>
            <w:pPr>
              <w:jc w:val="center"/>
            </w:pPr>
            <w:r/>
            <w:r>
              <w:rPr>
                <w:rFonts w:ascii="Times New Roman" w:hAnsi="Times New Roman"/>
                <w:sz w:val="18"/>
              </w:rPr>
              <w:t>0.1627</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0.82</w:t>
            </w:r>
          </w:p>
        </w:tc>
        <w:tc>
          <w:tcPr>
            <w:tcW w:type="dxa" w:w="1170"/>
          </w:tcPr>
          <w:p>
            <w:pPr>
              <w:jc w:val="center"/>
            </w:pPr>
            <w:r/>
            <w:r>
              <w:rPr>
                <w:rFonts w:ascii="Times New Roman" w:hAnsi="Times New Roman"/>
                <w:sz w:val="18"/>
              </w:rPr>
              <w:t>0.5190</w:t>
            </w:r>
          </w:p>
        </w:tc>
        <w:tc>
          <w:tcPr>
            <w:tcW w:type="dxa" w:w="1170"/>
          </w:tcPr>
          <w:p>
            <w:pPr>
              <w:jc w:val="center"/>
            </w:pPr>
            <w:r/>
            <w:r>
              <w:rPr>
                <w:rFonts w:ascii="Times New Roman" w:hAnsi="Times New Roman"/>
                <w:sz w:val="18"/>
              </w:rPr>
              <w:t>2.58</w:t>
            </w:r>
          </w:p>
        </w:tc>
        <w:tc>
          <w:tcPr>
            <w:tcW w:type="dxa" w:w="1170"/>
          </w:tcPr>
          <w:p>
            <w:pPr>
              <w:jc w:val="center"/>
            </w:pPr>
            <w:r/>
            <w:r>
              <w:rPr>
                <w:rFonts w:ascii="Times New Roman" w:hAnsi="Times New Roman"/>
                <w:sz w:val="18"/>
              </w:rPr>
              <w:t>0.1596</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0.65</w:t>
            </w:r>
          </w:p>
        </w:tc>
        <w:tc>
          <w:tcPr>
            <w:tcW w:type="dxa" w:w="1170"/>
          </w:tcPr>
          <w:p>
            <w:pPr>
              <w:jc w:val="center"/>
            </w:pPr>
            <w:r/>
            <w:r>
              <w:rPr>
                <w:rFonts w:ascii="Times New Roman" w:hAnsi="Times New Roman"/>
                <w:sz w:val="18"/>
              </w:rPr>
              <w:t>0.4501</w:t>
            </w:r>
          </w:p>
        </w:tc>
        <w:tc>
          <w:tcPr>
            <w:tcW w:type="dxa" w:w="1170"/>
          </w:tcPr>
          <w:p>
            <w:pPr>
              <w:jc w:val="center"/>
            </w:pPr>
            <w:r/>
            <w:r>
              <w:rPr>
                <w:rFonts w:ascii="Times New Roman" w:hAnsi="Times New Roman"/>
                <w:sz w:val="18"/>
              </w:rPr>
              <w:t>0.71</w:t>
            </w:r>
          </w:p>
        </w:tc>
        <w:tc>
          <w:tcPr>
            <w:tcW w:type="dxa" w:w="1170"/>
          </w:tcPr>
          <w:p>
            <w:pPr>
              <w:jc w:val="center"/>
            </w:pPr>
            <w:r/>
            <w:r>
              <w:rPr>
                <w:rFonts w:ascii="Times New Roman" w:hAnsi="Times New Roman"/>
                <w:sz w:val="18"/>
              </w:rPr>
              <w:t>0.4318</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1.98</w:t>
            </w:r>
          </w:p>
        </w:tc>
        <w:tc>
          <w:tcPr>
            <w:tcW w:type="dxa" w:w="1170"/>
          </w:tcPr>
          <w:p>
            <w:pPr>
              <w:jc w:val="center"/>
            </w:pPr>
            <w:r/>
            <w:r>
              <w:rPr>
                <w:rFonts w:ascii="Times New Roman" w:hAnsi="Times New Roman"/>
                <w:sz w:val="18"/>
              </w:rPr>
              <w:t>0.2829</w:t>
            </w:r>
          </w:p>
        </w:tc>
        <w:tc>
          <w:tcPr>
            <w:tcW w:type="dxa" w:w="1170"/>
          </w:tcPr>
          <w:p>
            <w:pPr>
              <w:jc w:val="center"/>
            </w:pPr>
            <w:r/>
            <w:r>
              <w:rPr>
                <w:rFonts w:ascii="Times New Roman" w:hAnsi="Times New Roman"/>
                <w:sz w:val="18"/>
              </w:rPr>
              <w:t>31.91</w:t>
            </w:r>
          </w:p>
        </w:tc>
        <w:tc>
          <w:tcPr>
            <w:tcW w:type="dxa" w:w="1170"/>
          </w:tcPr>
          <w:p>
            <w:pPr>
              <w:jc w:val="center"/>
            </w:pPr>
            <w:r/>
            <w:r>
              <w:rPr>
                <w:rFonts w:ascii="Times New Roman" w:hAnsi="Times New Roman"/>
                <w:sz w:val="18"/>
              </w:rPr>
              <w:t>0.0013*</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23.04</w:t>
            </w:r>
          </w:p>
        </w:tc>
        <w:tc>
          <w:tcPr>
            <w:tcW w:type="dxa" w:w="1170"/>
          </w:tcPr>
          <w:p>
            <w:pPr>
              <w:jc w:val="center"/>
            </w:pPr>
            <w:r/>
            <w:r>
              <w:rPr>
                <w:rFonts w:ascii="Times New Roman" w:hAnsi="Times New Roman"/>
                <w:sz w:val="18"/>
              </w:rPr>
              <w:t>0.0030*</w:t>
            </w:r>
          </w:p>
        </w:tc>
        <w:tc>
          <w:tcPr>
            <w:tcW w:type="dxa" w:w="1170"/>
          </w:tcPr>
          <w:p>
            <w:pPr>
              <w:jc w:val="center"/>
            </w:pPr>
            <w:r/>
            <w:r>
              <w:rPr>
                <w:rFonts w:ascii="Times New Roman" w:hAnsi="Times New Roman"/>
                <w:sz w:val="18"/>
              </w:rPr>
              <w:t>32.37</w:t>
            </w:r>
          </w:p>
        </w:tc>
        <w:tc>
          <w:tcPr>
            <w:tcW w:type="dxa" w:w="1170"/>
          </w:tcPr>
          <w:p>
            <w:pPr>
              <w:jc w:val="center"/>
            </w:pPr>
            <w:r/>
            <w:r>
              <w:rPr>
                <w:rFonts w:ascii="Times New Roman" w:hAnsi="Times New Roman"/>
                <w:sz w:val="18"/>
              </w:rPr>
              <w:t>0.0013*</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4.89</w:t>
            </w:r>
          </w:p>
        </w:tc>
        <w:tc>
          <w:tcPr>
            <w:tcW w:type="dxa" w:w="1170"/>
          </w:tcPr>
          <w:p>
            <w:pPr>
              <w:jc w:val="center"/>
            </w:pPr>
            <w:r/>
            <w:r>
              <w:rPr>
                <w:rFonts w:ascii="Times New Roman" w:hAnsi="Times New Roman"/>
                <w:sz w:val="18"/>
              </w:rPr>
              <w:t>0.0690</w:t>
            </w:r>
          </w:p>
        </w:tc>
        <w:tc>
          <w:tcPr>
            <w:tcW w:type="dxa" w:w="1170"/>
          </w:tcPr>
          <w:p>
            <w:pPr>
              <w:jc w:val="center"/>
            </w:pPr>
            <w:r/>
            <w:r>
              <w:rPr>
                <w:rFonts w:ascii="Times New Roman" w:hAnsi="Times New Roman"/>
                <w:sz w:val="18"/>
              </w:rPr>
              <w:t>0.61</w:t>
            </w:r>
          </w:p>
        </w:tc>
        <w:tc>
          <w:tcPr>
            <w:tcW w:type="dxa" w:w="1170"/>
          </w:tcPr>
          <w:p>
            <w:pPr>
              <w:jc w:val="center"/>
            </w:pPr>
            <w:r/>
            <w:r>
              <w:rPr>
                <w:rFonts w:ascii="Times New Roman" w:hAnsi="Times New Roman"/>
                <w:sz w:val="18"/>
              </w:rPr>
              <w:t>0.6001</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2.10</w:t>
            </w:r>
          </w:p>
        </w:tc>
        <w:tc>
          <w:tcPr>
            <w:tcW w:type="dxa" w:w="1170"/>
          </w:tcPr>
          <w:p>
            <w:pPr>
              <w:jc w:val="center"/>
            </w:pPr>
            <w:r/>
            <w:r>
              <w:rPr>
                <w:rFonts w:ascii="Times New Roman" w:hAnsi="Times New Roman"/>
                <w:sz w:val="18"/>
              </w:rPr>
              <w:t>0.1971</w:t>
            </w:r>
          </w:p>
        </w:tc>
        <w:tc>
          <w:tcPr>
            <w:tcW w:type="dxa" w:w="1170"/>
          </w:tcPr>
          <w:p>
            <w:pPr>
              <w:jc w:val="center"/>
            </w:pPr>
            <w:r/>
            <w:r>
              <w:rPr>
                <w:rFonts w:ascii="Times New Roman" w:hAnsi="Times New Roman"/>
                <w:sz w:val="18"/>
              </w:rPr>
              <w:t>3.62</w:t>
            </w:r>
          </w:p>
        </w:tc>
        <w:tc>
          <w:tcPr>
            <w:tcW w:type="dxa" w:w="1170"/>
          </w:tcPr>
          <w:p>
            <w:pPr>
              <w:jc w:val="center"/>
            </w:pPr>
            <w:r/>
            <w:r>
              <w:rPr>
                <w:rFonts w:ascii="Times New Roman" w:hAnsi="Times New Roman"/>
                <w:sz w:val="18"/>
              </w:rPr>
              <w:t>0.1584</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4.03</w:t>
            </w:r>
          </w:p>
        </w:tc>
        <w:tc>
          <w:tcPr>
            <w:tcW w:type="dxa" w:w="1170"/>
          </w:tcPr>
          <w:p>
            <w:pPr>
              <w:jc w:val="center"/>
            </w:pPr>
            <w:r/>
            <w:r>
              <w:rPr>
                <w:rFonts w:ascii="Times New Roman" w:hAnsi="Times New Roman"/>
                <w:sz w:val="18"/>
              </w:rPr>
              <w:t>0.1414</w:t>
            </w:r>
          </w:p>
        </w:tc>
        <w:tc>
          <w:tcPr>
            <w:tcW w:type="dxa" w:w="1170"/>
          </w:tcPr>
          <w:p>
            <w:pPr>
              <w:jc w:val="center"/>
            </w:pPr>
            <w:r/>
            <w:r>
              <w:rPr>
                <w:rFonts w:ascii="Times New Roman" w:hAnsi="Times New Roman"/>
                <w:sz w:val="18"/>
              </w:rPr>
              <w:t>15.28</w:t>
            </w:r>
          </w:p>
        </w:tc>
        <w:tc>
          <w:tcPr>
            <w:tcW w:type="dxa" w:w="1170"/>
          </w:tcPr>
          <w:p>
            <w:pPr>
              <w:jc w:val="center"/>
            </w:pPr>
            <w:r/>
            <w:r>
              <w:rPr>
                <w:rFonts w:ascii="Times New Roman" w:hAnsi="Times New Roman"/>
                <w:sz w:val="18"/>
              </w:rPr>
              <w:t>0.0079*</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1.87</w:t>
            </w:r>
          </w:p>
        </w:tc>
        <w:tc>
          <w:tcPr>
            <w:tcW w:type="dxa" w:w="1170"/>
          </w:tcPr>
          <w:p>
            <w:pPr>
              <w:jc w:val="center"/>
            </w:pPr>
            <w:r/>
            <w:r>
              <w:rPr>
                <w:rFonts w:ascii="Times New Roman" w:hAnsi="Times New Roman"/>
                <w:sz w:val="18"/>
              </w:rPr>
              <w:t>0.2202</w:t>
            </w:r>
          </w:p>
        </w:tc>
        <w:tc>
          <w:tcPr>
            <w:tcW w:type="dxa" w:w="1170"/>
          </w:tcPr>
          <w:p>
            <w:pPr>
              <w:jc w:val="center"/>
            </w:pPr>
            <w:r/>
            <w:r>
              <w:rPr>
                <w:rFonts w:ascii="Times New Roman" w:hAnsi="Times New Roman"/>
                <w:sz w:val="18"/>
              </w:rPr>
              <w:t>14.04</w:t>
            </w:r>
          </w:p>
        </w:tc>
        <w:tc>
          <w:tcPr>
            <w:tcW w:type="dxa" w:w="1170"/>
          </w:tcPr>
          <w:p>
            <w:pPr>
              <w:jc w:val="center"/>
            </w:pPr>
            <w:r/>
            <w:r>
              <w:rPr>
                <w:rFonts w:ascii="Times New Roman" w:hAnsi="Times New Roman"/>
                <w:sz w:val="18"/>
              </w:rPr>
              <w:t>0.0095*</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0.87</w:t>
            </w:r>
          </w:p>
        </w:tc>
        <w:tc>
          <w:tcPr>
            <w:tcW w:type="dxa" w:w="1170"/>
          </w:tcPr>
          <w:p>
            <w:pPr>
              <w:jc w:val="center"/>
            </w:pPr>
            <w:r/>
            <w:r>
              <w:rPr>
                <w:rFonts w:ascii="Times New Roman" w:hAnsi="Times New Roman"/>
                <w:sz w:val="18"/>
              </w:rPr>
              <w:t>0.5047</w:t>
            </w:r>
          </w:p>
        </w:tc>
        <w:tc>
          <w:tcPr>
            <w:tcW w:type="dxa" w:w="1170"/>
          </w:tcPr>
          <w:p>
            <w:pPr>
              <w:jc w:val="center"/>
            </w:pPr>
            <w:r/>
            <w:r>
              <w:rPr>
                <w:rFonts w:ascii="Times New Roman" w:hAnsi="Times New Roman"/>
                <w:sz w:val="18"/>
              </w:rPr>
              <w:t>0.46</w:t>
            </w:r>
          </w:p>
        </w:tc>
        <w:tc>
          <w:tcPr>
            <w:tcW w:type="dxa" w:w="1170"/>
          </w:tcPr>
          <w:p>
            <w:pPr>
              <w:jc w:val="center"/>
            </w:pPr>
            <w:r/>
            <w:r>
              <w:rPr>
                <w:rFonts w:ascii="Times New Roman" w:hAnsi="Times New Roman"/>
                <w:sz w:val="18"/>
              </w:rPr>
              <w:t>0.6684</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0.51</w:t>
            </w:r>
          </w:p>
        </w:tc>
        <w:tc>
          <w:tcPr>
            <w:tcW w:type="dxa" w:w="1170"/>
          </w:tcPr>
          <w:p>
            <w:pPr>
              <w:jc w:val="center"/>
            </w:pPr>
            <w:r/>
            <w:r>
              <w:rPr>
                <w:rFonts w:ascii="Times New Roman" w:hAnsi="Times New Roman"/>
                <w:sz w:val="18"/>
              </w:rPr>
              <w:t>0.6457</w:t>
            </w:r>
          </w:p>
        </w:tc>
        <w:tc>
          <w:tcPr>
            <w:tcW w:type="dxa" w:w="1170"/>
          </w:tcPr>
          <w:p>
            <w:pPr>
              <w:jc w:val="center"/>
            </w:pPr>
            <w:r/>
            <w:r>
              <w:rPr>
                <w:rFonts w:ascii="Times New Roman" w:hAnsi="Times New Roman"/>
                <w:sz w:val="18"/>
              </w:rPr>
              <w:t>4.21</w:t>
            </w:r>
          </w:p>
        </w:tc>
        <w:tc>
          <w:tcPr>
            <w:tcW w:type="dxa" w:w="1170"/>
          </w:tcPr>
          <w:p>
            <w:pPr>
              <w:jc w:val="center"/>
            </w:pPr>
            <w:r/>
            <w:r>
              <w:rPr>
                <w:rFonts w:ascii="Times New Roman" w:hAnsi="Times New Roman"/>
                <w:sz w:val="18"/>
              </w:rPr>
              <w:t>0.1347</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1.99</w:t>
            </w:r>
          </w:p>
        </w:tc>
        <w:tc>
          <w:tcPr>
            <w:tcW w:type="dxa" w:w="1170"/>
          </w:tcPr>
          <w:p>
            <w:pPr>
              <w:jc w:val="center"/>
            </w:pPr>
            <w:r/>
            <w:r>
              <w:rPr>
                <w:rFonts w:ascii="Times New Roman" w:hAnsi="Times New Roman"/>
                <w:sz w:val="18"/>
              </w:rPr>
              <w:t>0.2822</w:t>
            </w:r>
          </w:p>
        </w:tc>
        <w:tc>
          <w:tcPr>
            <w:tcW w:type="dxa" w:w="1170"/>
          </w:tcPr>
          <w:p>
            <w:pPr>
              <w:jc w:val="center"/>
            </w:pPr>
            <w:r/>
            <w:r>
              <w:rPr>
                <w:rFonts w:ascii="Times New Roman" w:hAnsi="Times New Roman"/>
                <w:sz w:val="18"/>
              </w:rPr>
              <w:t>2.51</w:t>
            </w:r>
          </w:p>
        </w:tc>
        <w:tc>
          <w:tcPr>
            <w:tcW w:type="dxa" w:w="1170"/>
          </w:tcPr>
          <w:p>
            <w:pPr>
              <w:jc w:val="center"/>
            </w:pPr>
            <w:r/>
            <w:r>
              <w:rPr>
                <w:rFonts w:ascii="Times New Roman" w:hAnsi="Times New Roman"/>
                <w:sz w:val="18"/>
              </w:rPr>
              <w:t>0.2290</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0.80</w:t>
            </w:r>
          </w:p>
        </w:tc>
        <w:tc>
          <w:tcPr>
            <w:tcW w:type="dxa" w:w="1170"/>
          </w:tcPr>
          <w:p>
            <w:pPr>
              <w:jc w:val="center"/>
            </w:pPr>
            <w:r/>
            <w:r>
              <w:rPr>
                <w:rFonts w:ascii="Times New Roman" w:hAnsi="Times New Roman"/>
                <w:sz w:val="18"/>
              </w:rPr>
              <w:t>0.5272</w:t>
            </w:r>
          </w:p>
        </w:tc>
        <w:tc>
          <w:tcPr>
            <w:tcW w:type="dxa" w:w="1170"/>
          </w:tcPr>
          <w:p>
            <w:pPr>
              <w:jc w:val="center"/>
            </w:pPr>
            <w:r/>
            <w:r>
              <w:rPr>
                <w:rFonts w:ascii="Times New Roman" w:hAnsi="Times New Roman"/>
                <w:sz w:val="18"/>
              </w:rPr>
              <w:t>5.85</w:t>
            </w:r>
          </w:p>
        </w:tc>
        <w:tc>
          <w:tcPr>
            <w:tcW w:type="dxa" w:w="1170"/>
          </w:tcPr>
          <w:p>
            <w:pPr>
              <w:jc w:val="center"/>
            </w:pPr>
            <w:r/>
            <w:r>
              <w:rPr>
                <w:rFonts w:ascii="Times New Roman" w:hAnsi="Times New Roman"/>
                <w:sz w:val="18"/>
              </w:rPr>
              <w:t>0.0922</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0.34</w:t>
            </w:r>
          </w:p>
        </w:tc>
        <w:tc>
          <w:tcPr>
            <w:tcW w:type="dxa" w:w="1170"/>
          </w:tcPr>
          <w:p>
            <w:pPr>
              <w:jc w:val="center"/>
            </w:pPr>
            <w:r/>
            <w:r>
              <w:rPr>
                <w:rFonts w:ascii="Times New Roman" w:hAnsi="Times New Roman"/>
                <w:sz w:val="18"/>
              </w:rPr>
              <w:t>0.7382</w:t>
            </w:r>
          </w:p>
        </w:tc>
        <w:tc>
          <w:tcPr>
            <w:tcW w:type="dxa" w:w="1170"/>
          </w:tcPr>
          <w:p>
            <w:pPr>
              <w:jc w:val="center"/>
            </w:pPr>
            <w:r/>
            <w:r>
              <w:rPr>
                <w:rFonts w:ascii="Times New Roman" w:hAnsi="Times New Roman"/>
                <w:sz w:val="18"/>
              </w:rPr>
              <w:t>1.85</w:t>
            </w:r>
          </w:p>
        </w:tc>
        <w:tc>
          <w:tcPr>
            <w:tcW w:type="dxa" w:w="1170"/>
          </w:tcPr>
          <w:p>
            <w:pPr>
              <w:jc w:val="center"/>
            </w:pPr>
            <w:r/>
            <w:r>
              <w:rPr>
                <w:rFonts w:ascii="Times New Roman" w:hAnsi="Times New Roman"/>
                <w:sz w:val="18"/>
              </w:rPr>
              <w:t>0.2227</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2.21</w:t>
            </w:r>
          </w:p>
        </w:tc>
        <w:tc>
          <w:tcPr>
            <w:tcW w:type="dxa" w:w="1170"/>
          </w:tcPr>
          <w:p>
            <w:pPr>
              <w:jc w:val="center"/>
            </w:pPr>
            <w:r/>
            <w:r>
              <w:rPr>
                <w:rFonts w:ascii="Times New Roman" w:hAnsi="Times New Roman"/>
                <w:sz w:val="18"/>
              </w:rPr>
              <w:t>0.1875</w:t>
            </w:r>
          </w:p>
        </w:tc>
        <w:tc>
          <w:tcPr>
            <w:tcW w:type="dxa" w:w="1170"/>
          </w:tcPr>
          <w:p>
            <w:pPr>
              <w:jc w:val="center"/>
            </w:pPr>
            <w:r/>
            <w:r>
              <w:rPr>
                <w:rFonts w:ascii="Times New Roman" w:hAnsi="Times New Roman"/>
                <w:sz w:val="18"/>
              </w:rPr>
              <w:t>0.93</w:t>
            </w:r>
          </w:p>
        </w:tc>
        <w:tc>
          <w:tcPr>
            <w:tcW w:type="dxa" w:w="1170"/>
          </w:tcPr>
          <w:p>
            <w:pPr>
              <w:jc w:val="center"/>
            </w:pPr>
            <w:r/>
            <w:r>
              <w:rPr>
                <w:rFonts w:ascii="Times New Roman" w:hAnsi="Times New Roman"/>
                <w:sz w:val="18"/>
              </w:rPr>
              <w:t>0.3714</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1.06</w:t>
            </w:r>
          </w:p>
        </w:tc>
        <w:tc>
          <w:tcPr>
            <w:tcW w:type="dxa" w:w="1170"/>
          </w:tcPr>
          <w:p>
            <w:pPr>
              <w:jc w:val="center"/>
            </w:pPr>
            <w:r/>
            <w:r>
              <w:rPr>
                <w:rFonts w:ascii="Times New Roman" w:hAnsi="Times New Roman"/>
                <w:sz w:val="18"/>
              </w:rPr>
              <w:t>0.3430</w:t>
            </w:r>
          </w:p>
        </w:tc>
        <w:tc>
          <w:tcPr>
            <w:tcW w:type="dxa" w:w="1170"/>
          </w:tcPr>
          <w:p>
            <w:pPr>
              <w:jc w:val="center"/>
            </w:pPr>
            <w:r/>
            <w:r>
              <w:rPr>
                <w:rFonts w:ascii="Times New Roman" w:hAnsi="Times New Roman"/>
                <w:sz w:val="18"/>
              </w:rPr>
              <w:t>0.99</w:t>
            </w:r>
          </w:p>
        </w:tc>
        <w:tc>
          <w:tcPr>
            <w:tcW w:type="dxa" w:w="1170"/>
          </w:tcPr>
          <w:p>
            <w:pPr>
              <w:jc w:val="center"/>
            </w:pPr>
            <w:r/>
            <w:r>
              <w:rPr>
                <w:rFonts w:ascii="Times New Roman" w:hAnsi="Times New Roman"/>
                <w:sz w:val="18"/>
              </w:rPr>
              <w:t>0.3582</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0.77</w:t>
            </w:r>
          </w:p>
        </w:tc>
        <w:tc>
          <w:tcPr>
            <w:tcW w:type="dxa" w:w="1170"/>
          </w:tcPr>
          <w:p>
            <w:pPr>
              <w:jc w:val="center"/>
            </w:pPr>
            <w:r/>
            <w:r>
              <w:rPr>
                <w:rFonts w:ascii="Times New Roman" w:hAnsi="Times New Roman"/>
                <w:sz w:val="18"/>
              </w:rPr>
              <w:t>0.4144</w:t>
            </w:r>
          </w:p>
        </w:tc>
        <w:tc>
          <w:tcPr>
            <w:tcW w:type="dxa" w:w="1170"/>
          </w:tcPr>
          <w:p>
            <w:pPr>
              <w:jc w:val="center"/>
            </w:pPr>
            <w:r/>
            <w:r>
              <w:rPr>
                <w:rFonts w:ascii="Times New Roman" w:hAnsi="Times New Roman"/>
                <w:sz w:val="18"/>
              </w:rPr>
              <w:t>1.01</w:t>
            </w:r>
          </w:p>
        </w:tc>
        <w:tc>
          <w:tcPr>
            <w:tcW w:type="dxa" w:w="1170"/>
          </w:tcPr>
          <w:p>
            <w:pPr>
              <w:jc w:val="center"/>
            </w:pPr>
            <w:r/>
            <w:r>
              <w:rPr>
                <w:rFonts w:ascii="Times New Roman" w:hAnsi="Times New Roman"/>
                <w:sz w:val="18"/>
              </w:rPr>
              <w:t>0.3547</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1.00</w:t>
            </w:r>
          </w:p>
        </w:tc>
        <w:tc>
          <w:tcPr>
            <w:tcW w:type="dxa" w:w="1170"/>
          </w:tcPr>
          <w:p>
            <w:pPr>
              <w:jc w:val="center"/>
            </w:pPr>
            <w:r/>
            <w:r>
              <w:rPr>
                <w:rFonts w:ascii="Times New Roman" w:hAnsi="Times New Roman"/>
                <w:sz w:val="18"/>
              </w:rPr>
              <w:t>0.4641</w:t>
            </w:r>
          </w:p>
        </w:tc>
        <w:tc>
          <w:tcPr>
            <w:tcW w:type="dxa" w:w="1170"/>
          </w:tcPr>
          <w:p>
            <w:pPr>
              <w:jc w:val="center"/>
            </w:pPr>
            <w:r/>
            <w:r>
              <w:rPr>
                <w:rFonts w:ascii="Times New Roman" w:hAnsi="Times New Roman"/>
                <w:sz w:val="18"/>
              </w:rPr>
              <w:t>0.09</w:t>
            </w:r>
          </w:p>
        </w:tc>
        <w:tc>
          <w:tcPr>
            <w:tcW w:type="dxa" w:w="1170"/>
          </w:tcPr>
          <w:p>
            <w:pPr>
              <w:jc w:val="center"/>
            </w:pPr>
            <w:r/>
            <w:r>
              <w:rPr>
                <w:rFonts w:ascii="Times New Roman" w:hAnsi="Times New Roman"/>
                <w:sz w:val="18"/>
              </w:rPr>
              <w:t>0.7700</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0.28</w:t>
            </w:r>
          </w:p>
        </w:tc>
        <w:tc>
          <w:tcPr>
            <w:tcW w:type="dxa" w:w="1170"/>
          </w:tcPr>
          <w:p>
            <w:pPr>
              <w:jc w:val="center"/>
            </w:pPr>
            <w:r/>
            <w:r>
              <w:rPr>
                <w:rFonts w:ascii="Times New Roman" w:hAnsi="Times New Roman"/>
                <w:sz w:val="18"/>
              </w:rPr>
              <w:t>0.6156</w:t>
            </w:r>
          </w:p>
        </w:tc>
        <w:tc>
          <w:tcPr>
            <w:tcW w:type="dxa" w:w="1170"/>
          </w:tcPr>
          <w:p>
            <w:pPr>
              <w:jc w:val="center"/>
            </w:pPr>
            <w:r/>
            <w:r>
              <w:rPr>
                <w:rFonts w:ascii="Times New Roman" w:hAnsi="Times New Roman"/>
                <w:sz w:val="18"/>
              </w:rPr>
              <w:t>1.43</w:t>
            </w:r>
          </w:p>
        </w:tc>
        <w:tc>
          <w:tcPr>
            <w:tcW w:type="dxa" w:w="1170"/>
          </w:tcPr>
          <w:p>
            <w:pPr>
              <w:jc w:val="center"/>
            </w:pPr>
            <w:r/>
            <w:r>
              <w:rPr>
                <w:rFonts w:ascii="Times New Roman" w:hAnsi="Times New Roman"/>
                <w:sz w:val="18"/>
              </w:rPr>
              <w:t>0.3659</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5.65</w:t>
            </w:r>
          </w:p>
        </w:tc>
        <w:tc>
          <w:tcPr>
            <w:tcW w:type="dxa" w:w="1170"/>
          </w:tcPr>
          <w:p>
            <w:pPr>
              <w:jc w:val="center"/>
            </w:pPr>
            <w:r/>
            <w:r>
              <w:rPr>
                <w:rFonts w:ascii="Times New Roman" w:hAnsi="Times New Roman"/>
                <w:sz w:val="18"/>
              </w:rPr>
              <w:t>0.0550</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9.48</w:t>
            </w:r>
          </w:p>
        </w:tc>
        <w:tc>
          <w:tcPr>
            <w:tcW w:type="dxa" w:w="1170"/>
          </w:tcPr>
          <w:p>
            <w:pPr>
              <w:jc w:val="center"/>
            </w:pPr>
            <w:r/>
            <w:r>
              <w:rPr>
                <w:rFonts w:ascii="Times New Roman" w:hAnsi="Times New Roman"/>
                <w:sz w:val="18"/>
              </w:rPr>
              <w:t>0.0217*</w:t>
            </w:r>
          </w:p>
        </w:tc>
        <w:tc>
          <w:tcPr>
            <w:tcW w:type="dxa" w:w="1170"/>
          </w:tcPr>
          <w:p>
            <w:pPr>
              <w:jc w:val="center"/>
            </w:pPr>
            <w:r/>
            <w:r>
              <w:rPr>
                <w:rFonts w:ascii="Times New Roman" w:hAnsi="Times New Roman"/>
                <w:sz w:val="18"/>
              </w:rPr>
              <w:t>5.20</w:t>
            </w:r>
          </w:p>
        </w:tc>
        <w:tc>
          <w:tcPr>
            <w:tcW w:type="dxa" w:w="1170"/>
          </w:tcPr>
          <w:p>
            <w:pPr>
              <w:jc w:val="center"/>
            </w:pPr>
            <w:r/>
            <w:r>
              <w:rPr>
                <w:rFonts w:ascii="Times New Roman" w:hAnsi="Times New Roman"/>
                <w:sz w:val="18"/>
              </w:rPr>
              <w:t>0.0627</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1.04</w:t>
            </w:r>
          </w:p>
        </w:tc>
        <w:tc>
          <w:tcPr>
            <w:tcW w:type="dxa" w:w="1170"/>
          </w:tcPr>
          <w:p>
            <w:pPr>
              <w:jc w:val="center"/>
            </w:pPr>
            <w:r/>
            <w:r>
              <w:rPr>
                <w:rFonts w:ascii="Times New Roman" w:hAnsi="Times New Roman"/>
                <w:sz w:val="18"/>
              </w:rPr>
              <w:t>0.3481</w:t>
            </w:r>
          </w:p>
        </w:tc>
        <w:tc>
          <w:tcPr>
            <w:tcW w:type="dxa" w:w="1170"/>
          </w:tcPr>
          <w:p>
            <w:pPr>
              <w:jc w:val="center"/>
            </w:pPr>
            <w:r/>
            <w:r>
              <w:rPr>
                <w:rFonts w:ascii="Times New Roman" w:hAnsi="Times New Roman"/>
                <w:sz w:val="18"/>
              </w:rPr>
              <w:t>4.43</w:t>
            </w:r>
          </w:p>
        </w:tc>
        <w:tc>
          <w:tcPr>
            <w:tcW w:type="dxa" w:w="1170"/>
          </w:tcPr>
          <w:p>
            <w:pPr>
              <w:jc w:val="center"/>
            </w:pPr>
            <w:r/>
            <w:r>
              <w:rPr>
                <w:rFonts w:ascii="Times New Roman" w:hAnsi="Times New Roman"/>
                <w:sz w:val="18"/>
              </w:rPr>
              <w:t>0.1273</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0.29</w:t>
            </w:r>
          </w:p>
        </w:tc>
        <w:tc>
          <w:tcPr>
            <w:tcW w:type="dxa" w:w="1170"/>
          </w:tcPr>
          <w:p>
            <w:pPr>
              <w:jc w:val="center"/>
            </w:pPr>
            <w:r/>
            <w:r>
              <w:rPr>
                <w:rFonts w:ascii="Times New Roman" w:hAnsi="Times New Roman"/>
                <w:sz w:val="18"/>
              </w:rPr>
              <w:t>0.6120</w:t>
            </w:r>
          </w:p>
        </w:tc>
        <w:tc>
          <w:tcPr>
            <w:tcW w:type="dxa" w:w="1170"/>
          </w:tcPr>
          <w:p>
            <w:pPr>
              <w:jc w:val="center"/>
            </w:pPr>
            <w:r/>
            <w:r>
              <w:rPr>
                <w:rFonts w:ascii="Times New Roman" w:hAnsi="Times New Roman"/>
                <w:sz w:val="18"/>
              </w:rPr>
              <w:t>0.90</w:t>
            </w:r>
          </w:p>
        </w:tc>
        <w:tc>
          <w:tcPr>
            <w:tcW w:type="dxa" w:w="1170"/>
          </w:tcPr>
          <w:p>
            <w:pPr>
              <w:jc w:val="center"/>
            </w:pPr>
            <w:r/>
            <w:r>
              <w:rPr>
                <w:rFonts w:ascii="Times New Roman" w:hAnsi="Times New Roman"/>
                <w:sz w:val="18"/>
              </w:rPr>
              <w:t>0.4946</w:t>
            </w:r>
          </w:p>
        </w:tc>
      </w:tr>
    </w:tbl>
    <w:p/>
    <w:p>
      <w:pPr>
        <w:pStyle w:val="Heading2"/>
      </w:pPr>
      <w:r>
        <w:rPr>
          <w:rFonts w:ascii="Times New Roman" w:hAnsi="Times New Roman"/>
          <w:color w:val="000000"/>
        </w:rPr>
        <w:t>Impulse response functions</w:t>
      </w:r>
    </w:p>
    <w:p>
      <w:pPr>
        <w:spacing w:after="120" w:line="480" w:lineRule="auto"/>
      </w:pPr>
      <w:r>
        <w:rPr>
          <w:rFonts w:ascii="Times New Roman" w:hAnsi="Times New Roman"/>
          <w:b w:val="0"/>
          <w:i w:val="0"/>
          <w:sz w:val="24"/>
        </w:rPr>
        <w:t>Figure 2 shows the IRFs for the response of physician counts to a one-unit shock in litigation cases for six key specialties. For obstetrics and gynaecology, the IRF demonstrates a sustained negative response peaking at approximately 2–3 years and persisting for 5 years. General surgery shows a similar pattern with the response attenuating by year 4. The corresponding IRFs for facility counts are shown in Supplementary Figure S1.</w:t>
      </w:r>
    </w:p>
    <w:p>
      <w:pPr>
        <w:pStyle w:val="Heading2"/>
      </w:pPr>
      <w:r>
        <w:rPr>
          <w:rFonts w:ascii="Times New Roman" w:hAnsi="Times New Roman"/>
          <w:color w:val="000000"/>
        </w:rPr>
        <w:t>VAR-based forecasts</w:t>
      </w:r>
    </w:p>
    <w:p>
      <w:pPr>
        <w:spacing w:after="120" w:line="480" w:lineRule="auto"/>
      </w:pPr>
      <w:r>
        <w:rPr>
          <w:rFonts w:ascii="Times New Roman" w:hAnsi="Times New Roman"/>
          <w:b w:val="0"/>
          <w:i w:val="0"/>
          <w:sz w:val="24"/>
        </w:rPr>
        <w:t>Figure 3 presents VAR-based forecasts for physician and facility counts in three specialties of particular policy interest. General surgery is projected to continue declining, with physician counts falling by approximately 230 per year and facilities by 310 per year through 2033. Obstetrics and gynaecology physician counts are projected to increase modestly, while facilities continue to decline. Internal medicine physician counts show continued growth but facility numbers are projected to decrease.</w:t>
      </w:r>
    </w:p>
    <w:p>
      <w:pPr>
        <w:spacing w:after="120" w:before="240" w:line="480" w:lineRule="auto"/>
      </w:pPr>
      <w:r>
        <w:rPr>
          <w:rFonts w:ascii="Times New Roman" w:hAnsi="Times New Roman"/>
          <w:b/>
          <w:sz w:val="20"/>
        </w:rPr>
        <w:t>Table 3. VAR-based workforce forecasts for selected specialties (point estimates from litigation–outcome bivariate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Outcome</w:t>
            </w:r>
          </w:p>
        </w:tc>
        <w:tc>
          <w:tcPr>
            <w:tcW w:type="dxa" w:w="2340"/>
          </w:tcPr>
          <w:p>
            <w:pPr>
              <w:jc w:val="center"/>
            </w:pPr>
            <w:r/>
            <w:r>
              <w:rPr>
                <w:rFonts w:ascii="Times New Roman" w:hAnsi="Times New Roman"/>
                <w:b/>
                <w:sz w:val="18"/>
              </w:rPr>
              <w:t>2028 (forecast)</w:t>
            </w:r>
          </w:p>
        </w:tc>
        <w:tc>
          <w:tcPr>
            <w:tcW w:type="dxa" w:w="2340"/>
          </w:tcPr>
          <w:p>
            <w:pPr>
              <w:jc w:val="center"/>
            </w:pPr>
            <w:r/>
            <w:r>
              <w:rPr>
                <w:rFonts w:ascii="Times New Roman" w:hAnsi="Times New Roman"/>
                <w:b/>
                <w:sz w:val="18"/>
              </w:rPr>
              <w:t>2033 (forecast)</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14,495</w:t>
            </w:r>
          </w:p>
        </w:tc>
        <w:tc>
          <w:tcPr>
            <w:tcW w:type="dxa" w:w="2340"/>
          </w:tcPr>
          <w:p>
            <w:pPr>
              <w:jc w:val="center"/>
            </w:pPr>
            <w:r/>
            <w:r>
              <w:rPr>
                <w:rFonts w:ascii="Times New Roman" w:hAnsi="Times New Roman"/>
                <w:sz w:val="18"/>
              </w:rPr>
              <w:t>14,492</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14,046</w:t>
            </w:r>
          </w:p>
        </w:tc>
        <w:tc>
          <w:tcPr>
            <w:tcW w:type="dxa" w:w="2340"/>
          </w:tcPr>
          <w:p>
            <w:pPr>
              <w:jc w:val="center"/>
            </w:pPr>
            <w:r/>
            <w:r>
              <w:rPr>
                <w:rFonts w:ascii="Times New Roman" w:hAnsi="Times New Roman"/>
                <w:sz w:val="18"/>
              </w:rPr>
              <w:t>14,188</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12,584</w:t>
            </w:r>
          </w:p>
        </w:tc>
        <w:tc>
          <w:tcPr>
            <w:tcW w:type="dxa" w:w="2340"/>
          </w:tcPr>
          <w:p>
            <w:pPr>
              <w:jc w:val="center"/>
            </w:pPr>
            <w:r/>
            <w:r>
              <w:rPr>
                <w:rFonts w:ascii="Times New Roman" w:hAnsi="Times New Roman"/>
                <w:sz w:val="18"/>
              </w:rPr>
              <w:t>12,935</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5,264</w:t>
            </w:r>
          </w:p>
        </w:tc>
        <w:tc>
          <w:tcPr>
            <w:tcW w:type="dxa" w:w="2340"/>
          </w:tcPr>
          <w:p>
            <w:pPr>
              <w:jc w:val="center"/>
            </w:pPr>
            <w:r/>
            <w:r>
              <w:rPr>
                <w:rFonts w:ascii="Times New Roman" w:hAnsi="Times New Roman"/>
                <w:sz w:val="18"/>
              </w:rPr>
              <w:t>4,934</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64,552</w:t>
            </w:r>
          </w:p>
        </w:tc>
        <w:tc>
          <w:tcPr>
            <w:tcW w:type="dxa" w:w="2340"/>
          </w:tcPr>
          <w:p>
            <w:pPr>
              <w:jc w:val="center"/>
            </w:pPr>
            <w:r/>
            <w:r>
              <w:rPr>
                <w:rFonts w:ascii="Times New Roman" w:hAnsi="Times New Roman"/>
                <w:sz w:val="18"/>
              </w:rPr>
              <w:t>63,045</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65,750</w:t>
            </w:r>
          </w:p>
        </w:tc>
        <w:tc>
          <w:tcPr>
            <w:tcW w:type="dxa" w:w="2340"/>
          </w:tcPr>
          <w:p>
            <w:pPr>
              <w:jc w:val="center"/>
            </w:pPr>
            <w:r/>
            <w:r>
              <w:rPr>
                <w:rFonts w:ascii="Times New Roman" w:hAnsi="Times New Roman"/>
                <w:sz w:val="18"/>
              </w:rPr>
              <w:t>65,011</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19,945</w:t>
            </w:r>
          </w:p>
        </w:tc>
        <w:tc>
          <w:tcPr>
            <w:tcW w:type="dxa" w:w="2340"/>
          </w:tcPr>
          <w:p>
            <w:pPr>
              <w:jc w:val="center"/>
            </w:pPr>
            <w:r/>
            <w:r>
              <w:rPr>
                <w:rFonts w:ascii="Times New Roman" w:hAnsi="Times New Roman"/>
                <w:sz w:val="18"/>
              </w:rPr>
              <w:t>21,462</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19,396</w:t>
            </w:r>
          </w:p>
        </w:tc>
        <w:tc>
          <w:tcPr>
            <w:tcW w:type="dxa" w:w="2340"/>
          </w:tcPr>
          <w:p>
            <w:pPr>
              <w:jc w:val="center"/>
            </w:pPr>
            <w:r/>
            <w:r>
              <w:rPr>
                <w:rFonts w:ascii="Times New Roman" w:hAnsi="Times New Roman"/>
                <w:sz w:val="18"/>
              </w:rPr>
              <w:t>19,137</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23,069</w:t>
            </w:r>
          </w:p>
        </w:tc>
        <w:tc>
          <w:tcPr>
            <w:tcW w:type="dxa" w:w="2340"/>
          </w:tcPr>
          <w:p>
            <w:pPr>
              <w:jc w:val="center"/>
            </w:pPr>
            <w:r/>
            <w:r>
              <w:rPr>
                <w:rFonts w:ascii="Times New Roman" w:hAnsi="Times New Roman"/>
                <w:sz w:val="18"/>
              </w:rPr>
              <w:t>23,393</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15,693</w:t>
            </w:r>
          </w:p>
        </w:tc>
        <w:tc>
          <w:tcPr>
            <w:tcW w:type="dxa" w:w="2340"/>
          </w:tcPr>
          <w:p>
            <w:pPr>
              <w:jc w:val="center"/>
            </w:pPr>
            <w:r/>
            <w:r>
              <w:rPr>
                <w:rFonts w:ascii="Times New Roman" w:hAnsi="Times New Roman"/>
                <w:sz w:val="18"/>
              </w:rPr>
              <w:t>16,992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11,529</w:t>
            </w:r>
          </w:p>
        </w:tc>
        <w:tc>
          <w:tcPr>
            <w:tcW w:type="dxa" w:w="2340"/>
          </w:tcPr>
          <w:p>
            <w:pPr>
              <w:jc w:val="center"/>
            </w:pPr>
            <w:r/>
            <w:r>
              <w:rPr>
                <w:rFonts w:ascii="Times New Roman" w:hAnsi="Times New Roman"/>
                <w:sz w:val="18"/>
              </w:rPr>
              <w:t>12,380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3,656</w:t>
            </w:r>
          </w:p>
        </w:tc>
        <w:tc>
          <w:tcPr>
            <w:tcW w:type="dxa" w:w="2340"/>
          </w:tcPr>
          <w:p>
            <w:pPr>
              <w:jc w:val="center"/>
            </w:pPr>
            <w:r/>
            <w:r>
              <w:rPr>
                <w:rFonts w:ascii="Times New Roman" w:hAnsi="Times New Roman"/>
                <w:sz w:val="18"/>
              </w:rPr>
              <w:t>4,161</w:t>
            </w:r>
          </w:p>
        </w:tc>
      </w:tr>
    </w:tbl>
    <w:p/>
    <w:p>
      <w:pPr>
        <w:pStyle w:val="Heading2"/>
      </w:pPr>
      <w:r>
        <w:rPr>
          <w:rFonts w:ascii="Times New Roman" w:hAnsi="Times New Roman"/>
          <w:color w:val="000000"/>
        </w:rPr>
        <w:t>Trainee analysis</w:t>
      </w:r>
    </w:p>
    <w:p>
      <w:pPr>
        <w:spacing w:after="120" w:line="480" w:lineRule="auto"/>
      </w:pPr>
      <w:r>
        <w:rPr>
          <w:rFonts w:ascii="Times New Roman" w:hAnsi="Times New Roman"/>
          <w:b w:val="0"/>
          <w:i w:val="0"/>
          <w:sz w:val="24"/>
        </w:rPr>
        <w:t>Detrended correlations between JMSR incident reports and specialist trainee enrolment (2018–2025, n = 8) showed notable negative associations for psychiatry (r = −0.77, P = 0.025), anaesthesiology (r = −0.77, P = 0.026), and obstetrics and gynaecology (r = −0.70, P = 0.051). However, these results should be interpreted cautiously given the short series and limited statistical power.</w:t>
      </w:r>
    </w:p>
    <w:p>
      <w:r>
        <w:br w:type="page"/>
      </w:r>
    </w:p>
    <w:p>
      <w:pPr>
        <w:pStyle w:val="Heading1"/>
      </w:pPr>
      <w:r>
        <w:rPr>
          <w:rFonts w:ascii="Times New Roman" w:hAnsi="Times New Roman"/>
          <w:color w:val="000000"/>
        </w:rPr>
        <w:t>Discussion</w:t>
      </w:r>
    </w:p>
    <w:p>
      <w:pPr>
        <w:pStyle w:val="Heading2"/>
      </w:pPr>
      <w:r>
        <w:rPr>
          <w:rFonts w:ascii="Times New Roman" w:hAnsi="Times New Roman"/>
          <w:color w:val="000000"/>
        </w:rPr>
        <w:t>Principal findings</w:t>
      </w:r>
    </w:p>
    <w:p>
      <w:pPr>
        <w:spacing w:after="120" w:line="480" w:lineRule="auto"/>
      </w:pPr>
      <w:r>
        <w:rPr>
          <w:rFonts w:ascii="Times New Roman" w:hAnsi="Times New Roman"/>
          <w:b w:val="0"/>
          <w:i w:val="0"/>
          <w:sz w:val="24"/>
        </w:rPr>
        <w:t>This study provides the first multi-specialty application of VAR models and Granger causality tests to examine the temporal relationship between medical safety incidents and physician workforce dynamics. Using two complementary incident definitions and national administrative data from Japan, we found that litigation statistics Granger-cause physician counts in 9 of 12 specialties and facility counts in 9 of 12 specialties. Obstetrics and gynaecology showed the strongest forward Granger causality (F = 46.66, P &lt; 0.001), corroborating previous findings from the Fukushima prosecution case</w:t>
      </w:r>
      <w:r>
        <w:rPr>
          <w:rFonts w:ascii="Times New Roman" w:hAnsi="Times New Roman"/>
          <w:b w:val="0"/>
          <w:i w:val="0"/>
          <w:sz w:val="20"/>
          <w:vertAlign w:val="superscript"/>
        </w:rPr>
        <w:t>[10]</w:t>
      </w:r>
      <w:r>
        <w:rPr>
          <w:rFonts w:ascii="Times New Roman" w:hAnsi="Times New Roman"/>
          <w:b w:val="0"/>
          <w:i w:val="0"/>
          <w:sz w:val="24"/>
        </w:rPr>
        <w:t xml:space="preserve"> but extending these to a national, multi-definition, multi-specialty framework.</w:t>
      </w:r>
    </w:p>
    <w:p>
      <w:pPr>
        <w:pStyle w:val="Heading2"/>
      </w:pPr>
      <w:r>
        <w:rPr>
          <w:rFonts w:ascii="Times New Roman" w:hAnsi="Times New Roman"/>
          <w:color w:val="000000"/>
        </w:rPr>
        <w:t>Methodological advance over ITS</w:t>
      </w:r>
    </w:p>
    <w:p>
      <w:pPr>
        <w:spacing w:after="120" w:line="480" w:lineRule="auto"/>
      </w:pPr>
      <w:r>
        <w:rPr>
          <w:rFonts w:ascii="Times New Roman" w:hAnsi="Times New Roman"/>
          <w:b w:val="0"/>
          <w:i w:val="0"/>
          <w:sz w:val="24"/>
        </w:rPr>
        <w:t>The VAR/Granger approach addresses the four major methodological concerns identified in prior reviews of this research question.</w:t>
      </w:r>
      <w:r>
        <w:rPr>
          <w:rFonts w:ascii="Times New Roman" w:hAnsi="Times New Roman"/>
          <w:b w:val="0"/>
          <w:i w:val="0"/>
          <w:sz w:val="20"/>
          <w:vertAlign w:val="superscript"/>
        </w:rPr>
        <w:t>[14]</w:t>
      </w:r>
      <w:r>
        <w:rPr>
          <w:rFonts w:ascii="Times New Roman" w:hAnsi="Times New Roman"/>
          <w:b w:val="0"/>
          <w:i w:val="0"/>
          <w:sz w:val="24"/>
        </w:rPr>
        <w:t xml:space="preserve"> First, VAR does not require an exogenous intervention point—it models the dynamic interdependence of two time series directly. Second, Granger causality provides a formal statistical test of temporal precedence ("does X help predict Y beyond Y’s own past?"), avoiding the risk of conflating contemporaneous correlation with predictive causality. Third, the stationarity testing and differencing protocol directly addresses spurious correlation risk. Fourth, VAR-based forecasting is grounded in the estimated multivariate dynamics rather than univariate linear extrapolation.</w:t>
      </w:r>
    </w:p>
    <w:p>
      <w:pPr>
        <w:pStyle w:val="Heading2"/>
      </w:pPr>
      <w:r>
        <w:rPr>
          <w:rFonts w:ascii="Times New Roman" w:hAnsi="Times New Roman"/>
          <w:color w:val="000000"/>
        </w:rPr>
        <w:t>Bidirectional causality and policy implications</w:t>
      </w:r>
    </w:p>
    <w:p>
      <w:pPr>
        <w:spacing w:after="120" w:line="480" w:lineRule="auto"/>
      </w:pPr>
      <w:r>
        <w:rPr>
          <w:rFonts w:ascii="Times New Roman" w:hAnsi="Times New Roman"/>
          <w:b w:val="0"/>
          <w:i w:val="0"/>
          <w:sz w:val="24"/>
        </w:rPr>
        <w:t>The observation of bidirectional Granger causality in 7 specialty–outcome combinations has important policy implications. Forward causality (incidents → workforce decline) is consistent with the hypothesised ‘incident avoidance’ pathway: high-profile safety events deter entry and accelerate exit from a specialty. Reverse causality (workforce decline → incidents) is consistent with an ‘overwork’ pathway: fewer physicians per caseload leads to fatigue, reduced supervision, and increased incident risk.</w:t>
      </w:r>
    </w:p>
    <w:p>
      <w:pPr>
        <w:spacing w:after="120" w:line="480" w:lineRule="auto"/>
      </w:pPr>
      <w:r>
        <w:rPr>
          <w:rFonts w:ascii="Times New Roman" w:hAnsi="Times New Roman"/>
          <w:b w:val="0"/>
          <w:i w:val="0"/>
          <w:sz w:val="24"/>
        </w:rPr>
        <w:t>The coexistence of both pathways in specialties such as obstetrics and gynaecology, paediatrics, and general surgery suggests a reinforcing vicious cycle. Policy interventions to break this cycle could target either pathway: improving post-incident support and public communication (to reduce avoidance), or augmenting workforce capacity and reducing per-physician workload (to reduce incident risk). The IRF results, showing that workforce effects persist for 3–5 years after a litigation shock, define a window during which such interventions could be most effective.</w:t>
      </w:r>
    </w:p>
    <w:p>
      <w:pPr>
        <w:pStyle w:val="Heading2"/>
      </w:pPr>
      <w:r>
        <w:rPr>
          <w:rFonts w:ascii="Times New Roman" w:hAnsi="Times New Roman"/>
          <w:color w:val="000000"/>
        </w:rPr>
        <w:t>Comparison with existing literature</w:t>
      </w:r>
    </w:p>
    <w:p>
      <w:pPr>
        <w:spacing w:after="120" w:line="480" w:lineRule="auto"/>
      </w:pPr>
      <w:r>
        <w:rPr>
          <w:rFonts w:ascii="Times New Roman" w:hAnsi="Times New Roman"/>
          <w:b w:val="0"/>
          <w:i w:val="0"/>
          <w:sz w:val="24"/>
        </w:rPr>
        <w:t>Our findings are consistent with and extend the existing literature. The magnitude of the obstetrics and gynaecology association aligns with Morita’s finding of a 13% decrease in obstetricians following the 2006 prosecution,</w:t>
      </w:r>
      <w:r>
        <w:rPr>
          <w:rFonts w:ascii="Times New Roman" w:hAnsi="Times New Roman"/>
          <w:b w:val="0"/>
          <w:i w:val="0"/>
          <w:sz w:val="20"/>
          <w:vertAlign w:val="superscript"/>
        </w:rPr>
        <w:t>[10]</w:t>
      </w:r>
      <w:r>
        <w:rPr>
          <w:rFonts w:ascii="Times New Roman" w:hAnsi="Times New Roman"/>
          <w:b w:val="0"/>
          <w:i w:val="0"/>
          <w:sz w:val="24"/>
        </w:rPr>
        <w:t xml:space="preserve"> and with the broader literature on malpractice-driven specialty avoidance in the United States.</w:t>
      </w:r>
      <w:r>
        <w:rPr>
          <w:rFonts w:ascii="Times New Roman" w:hAnsi="Times New Roman"/>
          <w:b w:val="0"/>
          <w:i w:val="0"/>
          <w:sz w:val="20"/>
          <w:vertAlign w:val="superscript"/>
        </w:rPr>
        <w:t>[1–3]</w:t>
      </w:r>
      <w:r>
        <w:rPr>
          <w:rFonts w:ascii="Times New Roman" w:hAnsi="Times New Roman"/>
          <w:b w:val="0"/>
          <w:i w:val="0"/>
          <w:sz w:val="24"/>
        </w:rPr>
        <w:t xml:space="preserve"> Klick and Stratmann found that tort reforms increased the supply of physicians in high-risk specialties,</w:t>
      </w:r>
      <w:r>
        <w:rPr>
          <w:rFonts w:ascii="Times New Roman" w:hAnsi="Times New Roman"/>
          <w:b w:val="0"/>
          <w:i w:val="0"/>
          <w:sz w:val="20"/>
          <w:vertAlign w:val="superscript"/>
        </w:rPr>
        <w:t>[4]</w:t>
      </w:r>
      <w:r>
        <w:rPr>
          <w:rFonts w:ascii="Times New Roman" w:hAnsi="Times New Roman"/>
          <w:b w:val="0"/>
          <w:i w:val="0"/>
          <w:sz w:val="24"/>
        </w:rPr>
        <w:t xml:space="preserve"> providing further evidence for the incident avoidance pathway.</w:t>
      </w:r>
    </w:p>
    <w:p>
      <w:pPr>
        <w:spacing w:after="120" w:line="480" w:lineRule="auto"/>
      </w:pPr>
      <w:r>
        <w:rPr>
          <w:rFonts w:ascii="Times New Roman" w:hAnsi="Times New Roman"/>
          <w:b w:val="0"/>
          <w:i w:val="0"/>
          <w:sz w:val="24"/>
        </w:rPr>
        <w:t>The present study extends this literature by demonstrating that the phenomenon is not limited to traditionally “high-risk” specialties. Dermatology, ophthalmology, and otolaryngology—not typically considered malpractice-sensitive—showed significant forward Granger causality, suggesting that workforce sensitivity to safety incidents may be more widespread than previously recognised.</w:t>
      </w:r>
    </w:p>
    <w:p>
      <w:pPr>
        <w:pStyle w:val="Heading2"/>
      </w:pPr>
      <w:r>
        <w:rPr>
          <w:rFonts w:ascii="Times New Roman" w:hAnsi="Times New Roman"/>
          <w:color w:val="000000"/>
        </w:rPr>
        <w:t>Strengths and limitations</w:t>
      </w:r>
    </w:p>
    <w:p>
      <w:pPr>
        <w:spacing w:after="120" w:line="480" w:lineRule="auto"/>
      </w:pPr>
      <w:r>
        <w:rPr>
          <w:rFonts w:ascii="Times New Roman" w:hAnsi="Times New Roman"/>
          <w:b w:val="0"/>
          <w:i w:val="0"/>
          <w:sz w:val="24"/>
        </w:rPr>
        <w:t>Strengths of this study include the use of population-level data from mandatory national registries, covering 12 specialties over up to 20 years; the application of VAR/Granger methodology, which is better suited than ITS to continuously varying exposures; and the formal testing of bidirectional causality.</w:t>
      </w:r>
    </w:p>
    <w:p>
      <w:pPr>
        <w:spacing w:after="120" w:line="480" w:lineRule="auto"/>
      </w:pPr>
      <w:r>
        <w:rPr>
          <w:rFonts w:ascii="Times New Roman" w:hAnsi="Times New Roman"/>
          <w:b w:val="0"/>
          <w:i w:val="0"/>
          <w:sz w:val="24"/>
        </w:rPr>
        <w:t>Several limitations should be acknowledged. First, this is an ecological study using aggregate national data; individual-level causal pathways cannot be inferred. Granger causality tests temporal precedence in prediction, not true causation in the interventionist sense. Second, the biennial physician survey data required linear interpolation, which may smooth short-term fluctuations. Third, the JMSR series (11 years) provided limited statistical power, as reflected in the few significant JMSR-based results. Fourth, unmeasured confounders—including demographic shifts, remuneration differentials, lifestyle preferences, and policy interventions such as the 2004 postgraduate clinical training reform—may explain some associations. Fifth, the specialist trainee data cover only 8 years, precluding formal VAR analysis for this outcome.</w:t>
      </w:r>
    </w:p>
    <w:p>
      <w:pPr>
        <w:pStyle w:val="Heading1"/>
      </w:pPr>
      <w:r>
        <w:rPr>
          <w:rFonts w:ascii="Times New Roman" w:hAnsi="Times New Roman"/>
          <w:color w:val="000000"/>
        </w:rPr>
        <w:t>Conclusions</w:t>
      </w:r>
    </w:p>
    <w:p>
      <w:pPr>
        <w:spacing w:after="120" w:line="480" w:lineRule="auto"/>
      </w:pPr>
      <w:r>
        <w:rPr>
          <w:rFonts w:ascii="Times New Roman" w:hAnsi="Times New Roman"/>
          <w:b w:val="0"/>
          <w:i w:val="0"/>
          <w:sz w:val="24"/>
        </w:rPr>
        <w:t>Medical safety incidents in Japan Granger-cause reductions in specialty-specific physician supply in 9 of 12 specialties analysed, with effects persisting for 3–5 years as estimated by impulse response functions. Bidirectional causality in several specialties suggests a reinforcing cycle between workforce shortages and safety incidents. These temporal parameters should be incorporated into workforce forecasting models. Further research using individual-level panel data and natural experiments is needed to confirm these associations and elucidate the underlying mechanisms.</w:t>
      </w:r>
    </w:p>
    <w:p>
      <w:r>
        <w:br w:type="page"/>
      </w:r>
    </w:p>
    <w:p>
      <w:pPr>
        <w:pStyle w:val="Heading1"/>
      </w:pPr>
      <w:r>
        <w:rPr>
          <w:rFonts w:ascii="Times New Roman" w:hAnsi="Times New Roman"/>
          <w:color w:val="000000"/>
        </w:rPr>
        <w:t>Declarations</w:t>
      </w:r>
    </w:p>
    <w:p>
      <w:pPr>
        <w:pStyle w:val="Heading2"/>
      </w:pPr>
      <w:r>
        <w:rPr>
          <w:rFonts w:ascii="Times New Roman" w:hAnsi="Times New Roman"/>
          <w:color w:val="000000"/>
        </w:rPr>
        <w:t>Funding</w:t>
      </w:r>
    </w:p>
    <w:p>
      <w:pPr>
        <w:spacing w:after="120" w:line="480" w:lineRule="auto"/>
      </w:pPr>
      <w:r>
        <w:rPr>
          <w:rFonts w:ascii="Times New Roman" w:hAnsi="Times New Roman"/>
          <w:b w:val="0"/>
          <w:i w:val="0"/>
          <w:sz w:val="20"/>
          <w:vertAlign w:val="superscript"/>
        </w:rPr>
        <w:t>[To be completed by authors]</w:t>
      </w:r>
    </w:p>
    <w:p>
      <w:pPr>
        <w:pStyle w:val="Heading2"/>
      </w:pPr>
      <w:r>
        <w:rPr>
          <w:rFonts w:ascii="Times New Roman" w:hAnsi="Times New Roman"/>
          <w:color w:val="000000"/>
        </w:rPr>
        <w:t>Competing interests</w:t>
      </w:r>
    </w:p>
    <w:p>
      <w:pPr>
        <w:spacing w:after="120" w:line="480" w:lineRule="auto"/>
      </w:pPr>
      <w:r>
        <w:rPr>
          <w:rFonts w:ascii="Times New Roman" w:hAnsi="Times New Roman"/>
          <w:b w:val="0"/>
          <w:i w:val="0"/>
          <w:sz w:val="24"/>
        </w:rPr>
        <w:t>The author declares no competing interests.</w:t>
      </w:r>
    </w:p>
    <w:p>
      <w:pPr>
        <w:pStyle w:val="Heading2"/>
      </w:pPr>
      <w:r>
        <w:rPr>
          <w:rFonts w:ascii="Times New Roman" w:hAnsi="Times New Roman"/>
          <w:color w:val="000000"/>
        </w:rPr>
        <w:t>Ethical approval</w:t>
      </w:r>
    </w:p>
    <w:p>
      <w:pPr>
        <w:spacing w:after="120" w:line="480" w:lineRule="auto"/>
      </w:pPr>
      <w:r>
        <w:rPr>
          <w:rFonts w:ascii="Times New Roman" w:hAnsi="Times New Roman"/>
          <w:b w:val="0"/>
          <w:i w:val="0"/>
          <w:sz w:val="24"/>
        </w:rPr>
        <w:t>This study used publicly available, anonymised, aggregate-level administrative data. No individual-level patient or physician data were accessed. Ethical approval was not required.</w:t>
      </w:r>
    </w:p>
    <w:p>
      <w:pPr>
        <w:pStyle w:val="Heading2"/>
      </w:pPr>
      <w:r>
        <w:rPr>
          <w:rFonts w:ascii="Times New Roman" w:hAnsi="Times New Roman"/>
          <w:color w:val="000000"/>
        </w:rPr>
        <w:t>Data availability</w:t>
      </w:r>
    </w:p>
    <w:p>
      <w:pPr>
        <w:spacing w:after="120" w:line="480" w:lineRule="auto"/>
      </w:pPr>
      <w:r>
        <w:rPr>
          <w:rFonts w:ascii="Times New Roman" w:hAnsi="Times New Roman"/>
          <w:b w:val="0"/>
          <w:i w:val="0"/>
          <w:sz w:val="24"/>
        </w:rPr>
        <w:t>The analysis code and aggregated datasets used in this study are available at https://github.com/bougtoir/medical-accident-its-analysis. The original data sources are publicly available from the Japan Medical Safety Research Organisation, the Supreme Court of Japan, and the Ministry of Health, Labour and Welfare.</w:t>
      </w:r>
    </w:p>
    <w:p>
      <w:pPr>
        <w:pStyle w:val="Heading2"/>
      </w:pPr>
      <w:r>
        <w:rPr>
          <w:rFonts w:ascii="Times New Roman" w:hAnsi="Times New Roman"/>
          <w:color w:val="000000"/>
        </w:rPr>
        <w:t>Use of AI-assisted technologies</w:t>
      </w:r>
    </w:p>
    <w:p>
      <w:pPr>
        <w:spacing w:after="120" w:line="480" w:lineRule="auto"/>
      </w:pPr>
      <w:r>
        <w:rPr>
          <w:rFonts w:ascii="Times New Roman" w:hAnsi="Times New Roman"/>
          <w:b w:val="0"/>
          <w:i w:val="0"/>
          <w:sz w:val="24"/>
        </w:rPr>
        <w:t>AI-assisted tools were used for coding assistance and manuscript drafting. The author takes full responsibility for the content and integrity of the work.</w:t>
      </w:r>
    </w:p>
    <w:p>
      <w:r>
        <w:br w:type="page"/>
      </w:r>
    </w:p>
    <w:p>
      <w:pPr>
        <w:pStyle w:val="Heading1"/>
      </w:pPr>
      <w:r>
        <w:rPr>
          <w:rFonts w:ascii="Times New Roman" w:hAnsi="Times New Roman"/>
          <w:color w:val="000000"/>
        </w:rPr>
        <w:t>References</w:t>
      </w:r>
    </w:p>
    <w:p>
      <w:pPr>
        <w:spacing w:line="480" w:lineRule="auto" w:after="40"/>
      </w:pPr>
      <w:r>
        <w:rPr>
          <w:rFonts w:ascii="Times New Roman" w:hAnsi="Times New Roman"/>
          <w:sz w:val="20"/>
        </w:rPr>
        <w:t>1. Studdert DM, Mello MM, Sage WM, et al. Defensive medicine among high-risk specialist physicians in a volatile malpractice environment. JAMA 2005;293:2609–17.</w:t>
      </w:r>
    </w:p>
    <w:p>
      <w:pPr>
        <w:spacing w:line="480" w:lineRule="auto" w:after="40"/>
      </w:pPr>
      <w:r>
        <w:rPr>
          <w:rFonts w:ascii="Times New Roman" w:hAnsi="Times New Roman"/>
          <w:sz w:val="20"/>
        </w:rPr>
        <w:t>2. Mello MM, Studdert DM, DesRoches CM, et al. Caring for patients in a malpractice crisis: physician satisfaction and quality of care. Health Aff (Millwood) 2004;23:42–53.</w:t>
      </w:r>
    </w:p>
    <w:p>
      <w:pPr>
        <w:spacing w:line="480" w:lineRule="auto" w:after="40"/>
      </w:pPr>
      <w:r>
        <w:rPr>
          <w:rFonts w:ascii="Times New Roman" w:hAnsi="Times New Roman"/>
          <w:sz w:val="20"/>
        </w:rPr>
        <w:t>3. Kessler D, McClellan MB. Do doctors practice defensive medicine? Q J Econ 1996;111:353–90.</w:t>
      </w:r>
    </w:p>
    <w:p>
      <w:pPr>
        <w:spacing w:line="480" w:lineRule="auto" w:after="40"/>
      </w:pPr>
      <w:r>
        <w:rPr>
          <w:rFonts w:ascii="Times New Roman" w:hAnsi="Times New Roman"/>
          <w:sz w:val="20"/>
        </w:rPr>
        <w:t>4. Klick J, Stratmann T. Medical malpractice reform and physicians in high-risk specialties. J Legal Stud 2007;36:S121–42.</w:t>
      </w:r>
    </w:p>
    <w:p>
      <w:pPr>
        <w:spacing w:line="480" w:lineRule="auto" w:after="40"/>
      </w:pPr>
      <w:r>
        <w:rPr>
          <w:rFonts w:ascii="Times New Roman" w:hAnsi="Times New Roman"/>
          <w:sz w:val="20"/>
        </w:rPr>
        <w:t>5. Frakes M. Defensive medicine and obstetric practices. J Empir Legal Stud 2012;9:457–81.</w:t>
      </w:r>
    </w:p>
    <w:p>
      <w:pPr>
        <w:spacing w:line="480" w:lineRule="auto" w:after="40"/>
      </w:pPr>
      <w:r>
        <w:rPr>
          <w:rFonts w:ascii="Times New Roman" w:hAnsi="Times New Roman"/>
          <w:sz w:val="20"/>
        </w:rPr>
        <w:t>6. Frakes MD, Gruber J, Jena AB. Is great information good enough? Evidence from physicians as patients. J Health Econ 2021;75:102406.</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2009;22:199–206.</w:t>
      </w:r>
    </w:p>
    <w:p>
      <w:pPr>
        <w:spacing w:line="480" w:lineRule="auto" w:after="40"/>
      </w:pPr>
      <w:r>
        <w:rPr>
          <w:rFonts w:ascii="Times New Roman" w:hAnsi="Times New Roman"/>
          <w:sz w:val="20"/>
        </w:rPr>
        <w:t>8. Hiyama T, Yoshihara M, Tanaka S, et al. Defensive medicine practices among gastroenterologists in Japan. World J Gastroenterol 2006;12:7671–5.</w:t>
      </w:r>
    </w:p>
    <w:p>
      <w:pPr>
        <w:spacing w:line="480" w:lineRule="auto" w:after="40"/>
      </w:pPr>
      <w:r>
        <w:rPr>
          <w:rFonts w:ascii="Times New Roman" w:hAnsi="Times New Roman"/>
          <w:sz w:val="20"/>
        </w:rPr>
        <w:t>9. Ishikawa T. Distribution and retention of obstetrician-gynecologists in Japan: a longitudinal study, 1996–2016. Nihon Iji Shimpo 2021. [in Japanese]</w:t>
      </w:r>
    </w:p>
    <w:p>
      <w:pPr>
        <w:spacing w:line="480" w:lineRule="auto" w:after="40"/>
      </w:pPr>
      <w:r>
        <w:rPr>
          <w:rFonts w:ascii="Times New Roman" w:hAnsi="Times New Roman"/>
          <w:sz w:val="20"/>
        </w:rPr>
        <w:t>10. Morita H. Criminal prosecution and physician supply. Int Rev Law Econ 2018;55:1–11.</w:t>
      </w:r>
    </w:p>
    <w:p>
      <w:pPr>
        <w:spacing w:line="480" w:lineRule="auto" w:after="40"/>
      </w:pPr>
      <w:r>
        <w:rPr>
          <w:rFonts w:ascii="Times New Roman" w:hAnsi="Times New Roman"/>
          <w:sz w:val="20"/>
        </w:rPr>
        <w:t>11. Japan Medical Safety Research Organisation. Annual report on medical accident investigation. Tokyo: JMSR; 2025. Available from: https://www.medsafe.or.jp/</w:t>
      </w:r>
    </w:p>
    <w:p>
      <w:pPr>
        <w:spacing w:line="480" w:lineRule="auto" w:after="40"/>
      </w:pPr>
      <w:r>
        <w:rPr>
          <w:rFonts w:ascii="Times New Roman" w:hAnsi="Times New Roman"/>
          <w:sz w:val="20"/>
        </w:rPr>
        <w:t>12. Supreme Court of Japan. Annual report of judicial statistics: medical malpractice litigation. Tokyo: Supreme Court; 2024. [in Japanese]</w:t>
      </w:r>
    </w:p>
    <w:p>
      <w:pPr>
        <w:spacing w:line="480" w:lineRule="auto" w:after="40"/>
      </w:pPr>
      <w:r>
        <w:rPr>
          <w:rFonts w:ascii="Times New Roman" w:hAnsi="Times New Roman"/>
          <w:sz w:val="20"/>
        </w:rPr>
        <w:t>13. Taniguchi K, Watari T, Nagoshi K. Characteristics and trends of medical malpractice claims in Japan between 2006 and 2021. PLoS One 2024;19:e0296155.</w:t>
      </w:r>
    </w:p>
    <w:p>
      <w:pPr>
        <w:spacing w:line="480" w:lineRule="auto" w:after="40"/>
      </w:pPr>
      <w:r>
        <w:rPr>
          <w:rFonts w:ascii="Times New Roman" w:hAnsi="Times New Roman"/>
          <w:sz w:val="20"/>
        </w:rPr>
        <w:t>14. Onishi T. Impact of medical safety incidents on physician workforce and healthcare facility supply across 12 specialties in Japan: an interrupted time series analysis. Preprint 2025.</w:t>
      </w:r>
    </w:p>
    <w:p>
      <w:pPr>
        <w:spacing w:line="480" w:lineRule="auto" w:after="40"/>
      </w:pPr>
      <w:r>
        <w:rPr>
          <w:rFonts w:ascii="Times New Roman" w:hAnsi="Times New Roman"/>
          <w:sz w:val="20"/>
        </w:rPr>
        <w:t>15. Lütkepohl H. New Introduction to Multiple Time Series Analysis. Berlin: Springer; 2005.</w:t>
      </w:r>
    </w:p>
    <w:p>
      <w:pPr>
        <w:spacing w:line="480" w:lineRule="auto" w:after="40"/>
      </w:pPr>
      <w:r>
        <w:rPr>
          <w:rFonts w:ascii="Times New Roman" w:hAnsi="Times New Roman"/>
          <w:sz w:val="20"/>
        </w:rPr>
        <w:t>16. Granger CWJ. Investigating causal relations by econometric models and cross-spectral methods. Econometrica 1969;37:424–38.</w:t>
      </w:r>
    </w:p>
    <w:p>
      <w:pPr>
        <w:spacing w:line="480" w:lineRule="auto" w:after="40"/>
      </w:pPr>
      <w:r>
        <w:rPr>
          <w:rFonts w:ascii="Times New Roman" w:hAnsi="Times New Roman"/>
          <w:sz w:val="20"/>
        </w:rPr>
        <w:t>17. Toda HY, Yamamoto T. Statistical inference in vector autoregressions with possibly integrated processes. J Econom 1995;66:225–50.</w:t>
      </w:r>
    </w:p>
    <w:p>
      <w:pPr>
        <w:spacing w:line="480" w:lineRule="auto" w:after="40"/>
      </w:pPr>
      <w:r>
        <w:rPr>
          <w:rFonts w:ascii="Times New Roman" w:hAnsi="Times New Roman"/>
          <w:sz w:val="20"/>
        </w:rPr>
        <w:t>18. Benchimol EI, Smeeth L, Guttmann A, et al. The REporting of studies Conducted using Observational Routinely-collected health Data (RECORD) statement. PLoS Med 2015;12:e1001885.</w:t>
      </w:r>
    </w:p>
    <w:p>
      <w:pPr>
        <w:spacing w:line="480" w:lineRule="auto" w:after="40"/>
      </w:pPr>
      <w:r>
        <w:rPr>
          <w:rFonts w:ascii="Times New Roman" w:hAnsi="Times New Roman"/>
          <w:sz w:val="20"/>
        </w:rPr>
        <w:t>19. Langan SM, Schmidt SAJ, Wing K, et al. The reporting of studies conducted using observational routinely collected health data statement for pharmacoepidemiology (RECORD-PE). BMJ 2018;363:k3532.</w:t>
      </w:r>
    </w:p>
    <w:p>
      <w:pPr>
        <w:spacing w:line="480" w:lineRule="auto" w:after="40"/>
      </w:pPr>
      <w:r>
        <w:rPr>
          <w:rFonts w:ascii="Times New Roman" w:hAnsi="Times New Roman"/>
          <w:sz w:val="20"/>
        </w:rPr>
        <w:t>20. Ministry of Health, Labour and Welfare. Survey of physicians, dentists, and pharmacists. Tokyo: MHLW; 2023. [in Japanese]</w:t>
      </w:r>
    </w:p>
    <w:p>
      <w:pPr>
        <w:spacing w:line="480" w:lineRule="auto" w:after="40"/>
      </w:pPr>
      <w:r>
        <w:rPr>
          <w:rFonts w:ascii="Times New Roman" w:hAnsi="Times New Roman"/>
          <w:sz w:val="20"/>
        </w:rPr>
        <w:t>21. Ministry of Health, Labour and Welfare. Survey of medical institutions (dynamic survey). Tokyo: MHLW; 2024. [in Japanese]</w:t>
      </w:r>
    </w:p>
    <w:p>
      <w:pPr>
        <w:spacing w:line="480" w:lineRule="auto" w:after="40"/>
      </w:pPr>
      <w:r>
        <w:rPr>
          <w:rFonts w:ascii="Times New Roman" w:hAnsi="Times New Roman"/>
          <w:sz w:val="20"/>
        </w:rPr>
        <w:t>22. Japan Board of Medical Specialties. Specialist trainee registration statistics. Tokyo: JBMS; 2025. [in Japanese]</w:t>
      </w:r>
    </w:p>
    <w:p>
      <w:pPr>
        <w:spacing w:line="480" w:lineRule="auto" w:after="40"/>
      </w:pPr>
      <w:r>
        <w:rPr>
          <w:rFonts w:ascii="Times New Roman" w:hAnsi="Times New Roman"/>
          <w:sz w:val="20"/>
        </w:rPr>
        <w:t>23. Hamilton JD. Time Series Analysis. Princeton: Princeton University Press; 1994.</w:t>
      </w:r>
    </w:p>
    <w:p>
      <w:pPr>
        <w:spacing w:line="480" w:lineRule="auto" w:after="40"/>
      </w:pPr>
      <w:r>
        <w:rPr>
          <w:rFonts w:ascii="Times New Roman" w:hAnsi="Times New Roman"/>
          <w:sz w:val="20"/>
        </w:rPr>
        <w:t>24. Sims CA. Macroeconomics and reality. Econometrica 1980;48:1–48.</w:t>
      </w:r>
    </w:p>
    <w:p>
      <w:pPr>
        <w:spacing w:line="480" w:lineRule="auto" w:after="40"/>
      </w:pPr>
      <w:r>
        <w:rPr>
          <w:rFonts w:ascii="Times New Roman" w:hAnsi="Times New Roman"/>
          <w:sz w:val="20"/>
        </w:rPr>
        <w:t>25. Seabold S, Perktold J. Statsmodels: econometric and statistical modeling with Python. Proceedings of the 9th Python in Science Conference. 2010:92–6.</w:t>
      </w:r>
    </w:p>
    <w:p>
      <w:pPr>
        <w:spacing w:line="480" w:lineRule="auto" w:after="40"/>
      </w:pPr>
      <w:r>
        <w:rPr>
          <w:rFonts w:ascii="Times New Roman" w:hAnsi="Times New Roman"/>
          <w:sz w:val="20"/>
        </w:rPr>
        <w:t>26. Virtanen P, Gommers R, Oliphant TE, et al. SciPy 1.0: fundamental algorithms for scientific computing in Python. Nat Methods 2020;17:261–72.</w:t>
      </w:r>
    </w:p>
    <w:p>
      <w:pPr>
        <w:spacing w:line="480" w:lineRule="auto" w:after="40"/>
      </w:pPr>
      <w:r>
        <w:rPr>
          <w:rFonts w:ascii="Times New Roman" w:hAnsi="Times New Roman"/>
          <w:sz w:val="20"/>
        </w:rPr>
        <w:t>27. McKinney W. Data structures for statistical computing in Python. Proceedings of the 9th Python in Science Conference. 2010:56–61.</w:t>
      </w:r>
    </w:p>
    <w:p>
      <w:pPr>
        <w:spacing w:line="480" w:lineRule="auto" w:after="40"/>
      </w:pPr>
      <w:r>
        <w:rPr>
          <w:rFonts w:ascii="Times New Roman" w:hAnsi="Times New Roman"/>
          <w:sz w:val="20"/>
        </w:rPr>
        <w:t>28. Currie J, MacLeod WB. First do no harm? Tort reform and birth outcomes. Q J Econ 2008;123:795–830.</w:t>
      </w:r>
    </w:p>
    <w:p>
      <w:r>
        <w:br w:type="page"/>
      </w:r>
    </w:p>
    <w:p>
      <w:pPr>
        <w:pStyle w:val="Heading1"/>
      </w:pPr>
      <w:r>
        <w:rPr>
          <w:rFonts w:ascii="Times New Roman" w:hAnsi="Times New Roman"/>
          <w:color w:val="000000"/>
        </w:rPr>
        <w:t>Figure legends</w:t>
      </w:r>
    </w:p>
    <w:p>
      <w:pPr>
        <w:spacing w:line="480" w:lineRule="auto" w:after="240"/>
      </w:pPr>
      <w:r>
        <w:rPr>
          <w:rFonts w:ascii="Times New Roman" w:hAnsi="Times New Roman"/>
          <w:b/>
          <w:sz w:val="22"/>
        </w:rPr>
        <w:t xml:space="preserve">Figure 1. </w:t>
      </w:r>
      <w:r>
        <w:rPr>
          <w:rFonts w:ascii="Times New Roman" w:hAnsi="Times New Roman"/>
          <w:sz w:val="22"/>
        </w:rPr>
        <w:t>Trends in medical safety incident counts by specialty. Panel A: JMSR mandatory reports (2015–2025). Panel B: Medical malpractice litigation (2004–2023). The 12 core specialties are shown with dual y-axes.</w:t>
      </w:r>
    </w:p>
    <w:p>
      <w:pPr>
        <w:spacing w:line="480" w:lineRule="auto" w:after="240"/>
      </w:pPr>
      <w:r>
        <w:rPr>
          <w:rFonts w:ascii="Times New Roman" w:hAnsi="Times New Roman"/>
          <w:b/>
          <w:sz w:val="22"/>
        </w:rPr>
        <w:t xml:space="preserve">Figure 2. </w:t>
      </w:r>
      <w:r>
        <w:rPr>
          <w:rFonts w:ascii="Times New Roman" w:hAnsi="Times New Roman"/>
          <w:sz w:val="22"/>
        </w:rPr>
        <w:t>Impulse response functions: response of physician counts to a one-unit shock in litigation cases for six key specialties. Shaded areas indicate approximate 95% confidence bands. The x-axis represents years after the shock.</w:t>
      </w:r>
    </w:p>
    <w:p>
      <w:pPr>
        <w:spacing w:line="480" w:lineRule="auto" w:after="240"/>
      </w:pPr>
      <w:r>
        <w:rPr>
          <w:rFonts w:ascii="Times New Roman" w:hAnsi="Times New Roman"/>
          <w:b/>
          <w:sz w:val="22"/>
        </w:rPr>
        <w:t xml:space="preserve">Figure 3. </w:t>
      </w:r>
      <w:r>
        <w:rPr>
          <w:rFonts w:ascii="Times New Roman" w:hAnsi="Times New Roman"/>
          <w:sz w:val="22"/>
        </w:rPr>
        <w:t>VAR-based forecasts of physician and facility counts for general surgery, obstetrics and gynaecology, and internal medicine (2024–2033). Blue circles: historical data; red dashed line: VAR forecast; shaded area: 95% forecast interval.</w:t>
      </w:r>
    </w:p>
    <w:p>
      <w:pPr>
        <w:spacing w:after="120" w:line="480" w:lineRule="auto"/>
      </w:pPr>
      <w:r>
        <w:rPr>
          <w:rFonts w:ascii="Times New Roman" w:hAnsi="Times New Roman"/>
          <w:b w:val="0"/>
          <w:i/>
          <w:sz w:val="24"/>
        </w:rPr>
        <w:t>Supplementary Figure S1. Impulse response functions: response of facility counts to a one-unit shock in litigation cases for six key specialties.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