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表1. ICD-11における主要な疾患分類学的革新と疾患分類学的相対性フレームワークにおける予測効果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ICD-11の変更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認知的レベル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制度的レベル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集団レベル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独立した疾患実体としての慢性疼痛（MG30）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臨床医が疼痛を症状ではなく一次的診断として考慮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疼痛医学が専用の資金源とガイドラインを獲得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検出の改善に帰される慢性疼痛有病率の増加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職業的現象としてのバーンアウト（QD85）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臨床医が疲弊の症例で職業的因子をスクリーニング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産業保健サービスがバーンアウト特異的プロトコルを策定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バーンアウト有病率に関する新たな疫学データの出現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ゲーム障害（6C51）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臨床医が病的ゲームを診断可能な状態として同定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ゲーム障害の治療センターと臨床ガイドラインの発展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ゲーム障害の発生率データの生成と報告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複雑性PTSD（6B41）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臨床医がトラウマ患者で複雑性と単純性のPTSDを区別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複雑性PTSDメカニズムに特化した研究資金の配分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既存PTSD患者の再分類による有病率推定値の変化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性別不合の再分類（HA60–HA6Z）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精神疾患との認知的連合の減少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精神科サービスから離れたケア経路の再編成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スティグマ関連のケアアクセス障壁の減少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