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Pharmacokinetic compartment theory solves the statistical three-body problem</w:t>
      </w:r>
    </w:p>
    <w:p>
      <w:pPr>
        <w:jc w:val="center"/>
      </w:pPr>
      <w:r>
        <w:rPr>
          <w:sz w:val="24"/>
        </w:rPr>
        <w:t>Tatsuki Onishi</w:t>
      </w:r>
    </w:p>
    <w:p>
      <w:pPr>
        <w:spacing w:after="360"/>
        <w:jc w:val="center"/>
      </w:pPr>
      <w:r>
        <w:rPr>
          <w:i/>
          <w:sz w:val="20"/>
        </w:rPr>
        <w:t>Independent Researcher</w:t>
      </w:r>
    </w:p>
    <w:p/>
    <w:p>
      <w:r>
        <w:rPr>
          <w:b/>
          <w:sz w:val="24"/>
        </w:rPr>
        <w:t>Abstract</w:t>
      </w:r>
    </w:p>
    <w:p>
      <w:pPr>
        <w:spacing w:after="240"/>
      </w:pPr>
      <w:r>
        <w:rPr>
          <w:sz w:val="22"/>
        </w:rPr>
        <w:t>The gravitational three-body problem remains analytically intractable after 250 years. Here we show that chaotic three-body scattering maps onto a three-compartment pharmacokinetic (PK) model, where binary configurations are compartments, configuration transitions are inter-compartmental transfers, and system dissolution is elimination. Using 15,000 N-body simulations across 64 mass configurations, we demonstrate that: (i) the linear PK model reproduces the multi-exponential lifetime distribution predicted by random-walk theory; (ii) a nonlinear (Michaelis-Menten) elimination term quantitatively captures the power-law tail from sticky chaos, reducing tail RMSE by 36-42%; and (iii) population PK (mixed-effects) modelling reveals allometric scaling of mean residence time with mass ratios (MRT proportional to mu_12 to the power 2.08 times mu_out to the power -1.68, R-squared = 0.67). The reverse mapping yields a stability analysis framework for target-mediated drug disposition derived from celestial mechanics. This cross-disciplinary bridge opens new computational strategies in both celestial mechanics and quantitative pharmacology.</w:t>
      </w:r>
    </w:p>
    <w:p>
      <w:pPr>
        <w:pStyle w:val="Heading1"/>
      </w:pPr>
      <w:r>
        <w:t>Introduction</w:t>
      </w:r>
    </w:p>
    <w:p>
      <w:r>
        <w:rPr>
          <w:sz w:val="22"/>
        </w:rPr>
        <w:t>The three-body problem—predicting the long-term motion of three gravitationally interacting masses—has resisted analytical solution since Newton.</w:t>
      </w:r>
      <w:r>
        <w:rPr>
          <w:sz w:val="16"/>
          <w:vertAlign w:val="superscript"/>
        </w:rPr>
        <w:t>1</w:t>
      </w:r>
      <w:r>
        <w:rPr>
          <w:sz w:val="22"/>
        </w:rPr>
        <w:t xml:space="preserve"> Poincaré proved its non-integrability,</w:t>
      </w:r>
      <w:r>
        <w:rPr>
          <w:sz w:val="16"/>
          <w:vertAlign w:val="superscript"/>
        </w:rPr>
        <w:t>2</w:t>
      </w:r>
      <w:r>
        <w:rPr>
          <w:sz w:val="22"/>
        </w:rPr>
        <w:t xml:space="preserve"> and modern numerical studies confirm that generic three-body encounters are chaotic, with outcomes sensitive to initial conditions at the level of floating-point precision.</w:t>
      </w:r>
      <w:r>
        <w:rPr>
          <w:sz w:val="16"/>
          <w:vertAlign w:val="superscript"/>
        </w:rPr>
        <w:t>3</w:t>
      </w:r>
      <w:r>
        <w:rPr>
          <w:sz w:val="22"/>
        </w:rPr>
        <w:t xml:space="preserve"> Nevertheless, the statistical properties of the outcomes are remarkably regular: the lifetime distribution follows a multi-exponential decay,</w:t>
      </w:r>
      <w:r>
        <w:rPr>
          <w:sz w:val="16"/>
          <w:vertAlign w:val="superscript"/>
        </w:rPr>
        <w:t>4,5</w:t>
      </w:r>
      <w:r>
        <w:rPr>
          <w:sz w:val="22"/>
        </w:rPr>
        <w:t xml:space="preserve"> and the final-state distributions can be predicted from phase-space volume arguments.</w:t>
      </w:r>
      <w:r>
        <w:rPr>
          <w:sz w:val="16"/>
          <w:vertAlign w:val="superscript"/>
        </w:rPr>
        <w:t>6,7</w:t>
      </w:r>
      <w:r>
        <w:rPr>
          <w:sz w:val="22"/>
        </w:rPr>
      </w:r>
    </w:p>
    <w:p>
      <w:r>
        <w:rPr>
          <w:sz w:val="22"/>
        </w:rPr>
        <w:t>Recently, Ginat and Perets showed that chaotic three-body scattering can be decomposed into a sequence of independent probabilistic excursions—each a temporary binary plus a distant single body—and derived an analytical, statistical solution as a random walk in binary binding energy.</w:t>
      </w:r>
      <w:r>
        <w:rPr>
          <w:sz w:val="16"/>
          <w:vertAlign w:val="superscript"/>
        </w:rPr>
        <w:t>5</w:t>
      </w:r>
      <w:r>
        <w:rPr>
          <w:sz w:val="22"/>
        </w:rPr>
        <w:t xml:space="preserve"> Stone and Leigh independently demonstrated the predictive power of flux-based statistical mechanics for three-body outcomes.</w:t>
      </w:r>
      <w:r>
        <w:rPr>
          <w:sz w:val="16"/>
          <w:vertAlign w:val="superscript"/>
        </w:rPr>
        <w:t>6</w:t>
      </w:r>
      <w:r>
        <w:rPr>
          <w:sz w:val="22"/>
        </w:rPr>
        <w:t xml:space="preserve"> These advances establish that the ergodic core of the three-body problem is amenable to stochastic modelling.</w:t>
      </w:r>
    </w:p>
    <w:p>
      <w:r>
        <w:rPr>
          <w:sz w:val="22"/>
        </w:rPr>
        <w:t>Here we observe that this stochastic structure is formally identical to pharmacokinetic (PK) compartmental analysis—the standard framework for modelling drug absorption, distribution, and elimination in the body.</w:t>
      </w:r>
      <w:r>
        <w:rPr>
          <w:sz w:val="16"/>
          <w:vertAlign w:val="superscript"/>
        </w:rPr>
        <w:t>8,9</w:t>
      </w:r>
      <w:r>
        <w:rPr>
          <w:sz w:val="22"/>
        </w:rPr>
        <w:t xml:space="preserve"> In PK theory, the body is divided into compartments (e.g. plasma, tissues), drug transfers between compartments at first-order rates, and is eliminated irreversibly. The mathematics is a continuous-time Markov chain (CTMC) whose generator is the PK rate matrix.</w:t>
      </w:r>
      <w:r>
        <w:rPr>
          <w:sz w:val="16"/>
          <w:vertAlign w:val="superscript"/>
        </w:rPr>
        <w:t>10</w:t>
      </w:r>
      <w:r>
        <w:rPr>
          <w:sz w:val="22"/>
        </w:rPr>
      </w:r>
    </w:p>
    <w:p>
      <w:r>
        <w:rPr>
          <w:sz w:val="22"/>
        </w:rPr>
        <w:t>We propose that three-body scattering is a three-compartment PK system: each binary configuration (which body pair is bound) is a compartment; transitions between configurations are inter-compartmental transfers; escape of one body is elimination. This mapping is not merely analogical —it is an exact structural equivalence at the level of the master equation. We exploit it to import the full toolkit of PK analysis (half-lives, mean residence time, bioequivalence, population modelling, nonlinear kinetics) into celestial mechanics, and conversely to bring dynamical-systems stability theory into pharmacology.</w:t>
      </w:r>
    </w:p>
    <w:p>
      <w:pPr>
        <w:jc w:val="center"/>
      </w:pPr>
      <w:r>
        <w:drawing>
          <wp:inline xmlns:a="http://schemas.openxmlformats.org/drawingml/2006/main" xmlns:pic="http://schemas.openxmlformats.org/drawingml/2006/picture">
            <wp:extent cx="5486400" cy="2394399"/>
            <wp:docPr id="1" name="Picture 1"/>
            <wp:cNvGraphicFramePr>
              <a:graphicFrameLocks noChangeAspect="1"/>
            </wp:cNvGraphicFramePr>
            <a:graphic>
              <a:graphicData uri="http://schemas.openxmlformats.org/drawingml/2006/picture">
                <pic:pic>
                  <pic:nvPicPr>
                    <pic:cNvPr id="0" name="fig1_conceptual.png"/>
                    <pic:cNvPicPr/>
                  </pic:nvPicPr>
                  <pic:blipFill>
                    <a:blip r:embed="rId9"/>
                    <a:stretch>
                      <a:fillRect/>
                    </a:stretch>
                  </pic:blipFill>
                  <pic:spPr>
                    <a:xfrm>
                      <a:off x="0" y="0"/>
                      <a:ext cx="5486400" cy="2394399"/>
                    </a:xfrm>
                    <a:prstGeom prst="rect"/>
                  </pic:spPr>
                </pic:pic>
              </a:graphicData>
            </a:graphic>
          </wp:inline>
        </w:drawing>
      </w:r>
    </w:p>
    <w:p>
      <w:pPr>
        <w:spacing w:before="120" w:after="240"/>
      </w:pPr>
      <w:r>
        <w:rPr>
          <w:b/>
          <w:sz w:val="20"/>
        </w:rPr>
        <w:t xml:space="preserve">Figure 1 | </w:t>
      </w:r>
      <w:r>
        <w:rPr>
          <w:sz w:val="22"/>
        </w:rPr>
        <w:t>Mapping three-body scattering onto pharmacokinetic compartments. (a) Three-body scattering: each binary configuration (which body pair is gravitationally bound) corresponds to a compartment; transitions between configurations are inter-compartmental transfers at rates k_ij; escape of one body is irreversible elimination at rate k_ei. (b) Equivalent three-compartment pharmacokinetic model.</w:t>
      </w:r>
    </w:p>
    <w:p>
      <w:pPr>
        <w:pStyle w:val="Heading1"/>
      </w:pPr>
      <w:r>
        <w:t>Results</w:t>
      </w:r>
    </w:p>
    <w:p>
      <w:pPr>
        <w:pStyle w:val="Heading2"/>
      </w:pPr>
      <w:r>
        <w:t>Linear PK model reproduces multi-exponential decay</w:t>
      </w:r>
    </w:p>
    <w:p>
      <w:r>
        <w:rPr>
          <w:sz w:val="22"/>
        </w:rPr>
        <w:t>We performed 15,000 three-body scattering simulations using a symplectic leapfrog integrator (Methods), spanning three mass configurations: equal mass (1:1:1), unequal mass (1:2:0.5), and democratic initial conditions (1:1:1, symmetric start). For each simulation, we recorded the full sequence of binary configurations visited and dwell times in each (Fig. 1).</w:t>
      </w:r>
    </w:p>
    <w:p>
      <w:r>
        <w:rPr>
          <w:sz w:val="22"/>
        </w:rPr>
        <w:t>From the transition counts and dwell times, we estimated the 9 PK rate parameters (6 inter-compartmental transfer rates k_ij and 3 elimination rates k_ei) by maximum-likelihood estimation for a continuous-time Markov chain: k_ij = N_ij / T_i, where N_ij is the number of observed i-to-j transitions and T_i is total dwell time in compartment i.</w:t>
      </w:r>
      <w:r>
        <w:rPr>
          <w:sz w:val="16"/>
          <w:vertAlign w:val="superscript"/>
        </w:rPr>
        <w:t>10</w:t>
      </w:r>
      <w:r>
        <w:rPr>
          <w:sz w:val="22"/>
        </w:rPr>
      </w:r>
    </w:p>
    <w:p>
      <w:r>
        <w:rPr>
          <w:sz w:val="22"/>
        </w:rPr>
        <w:t>The resulting linear PK model predicts a survival function S(t) = sum of w_i times exp(-lambda_i times t), a sum of three exponentials with decay rates given by the eigenvalues of the rate matrix (Fig. 2). Kolmogorov-Smirnov tests reject the single-exponential hypothesis (p &lt; 0.001 for all three configurations), confirming that the three-compartment model is necessary and sufficient to describe the intermediate-timescale dynamics.</w:t>
      </w:r>
    </w:p>
    <w:p>
      <w:r>
        <w:rPr>
          <w:sz w:val="22"/>
        </w:rPr>
        <w:t>The MLE-estimated rates agree quantitatively with the phase-space flux prediction from statistical mechanics.</w:t>
      </w:r>
      <w:r>
        <w:rPr>
          <w:sz w:val="16"/>
          <w:vertAlign w:val="superscript"/>
        </w:rPr>
        <w:t>6</w:t>
      </w:r>
      <w:r>
        <w:rPr>
          <w:sz w:val="22"/>
        </w:rPr>
        <w:t xml:space="preserve"> For equal masses, all transfer rates converge to the same value by symmetry (k_ij approximately 0.015 per dynamical time), validating both the PK framework and the ergodic hypothesis underlying the statistical approach.</w:t>
      </w:r>
    </w:p>
    <w:p>
      <w:pPr>
        <w:jc w:val="center"/>
      </w:pPr>
      <w:r>
        <w:drawing>
          <wp:inline xmlns:a="http://schemas.openxmlformats.org/drawingml/2006/main" xmlns:pic="http://schemas.openxmlformats.org/drawingml/2006/picture">
            <wp:extent cx="5486400" cy="1900019"/>
            <wp:docPr id="2" name="Picture 2"/>
            <wp:cNvGraphicFramePr>
              <a:graphicFrameLocks noChangeAspect="1"/>
            </wp:cNvGraphicFramePr>
            <a:graphic>
              <a:graphicData uri="http://schemas.openxmlformats.org/drawingml/2006/picture">
                <pic:pic>
                  <pic:nvPicPr>
                    <pic:cNvPr id="0" name="fig2_survival.png"/>
                    <pic:cNvPicPr/>
                  </pic:nvPicPr>
                  <pic:blipFill>
                    <a:blip r:embed="rId10"/>
                    <a:stretch>
                      <a:fillRect/>
                    </a:stretch>
                  </pic:blipFill>
                  <pic:spPr>
                    <a:xfrm>
                      <a:off x="0" y="0"/>
                      <a:ext cx="5486400" cy="1900019"/>
                    </a:xfrm>
                    <a:prstGeom prst="rect"/>
                  </pic:spPr>
                </pic:pic>
              </a:graphicData>
            </a:graphic>
          </wp:inline>
        </w:drawing>
      </w:r>
    </w:p>
    <w:p>
      <w:pPr>
        <w:spacing w:before="120" w:after="240"/>
      </w:pPr>
      <w:r>
        <w:rPr>
          <w:b/>
          <w:sz w:val="20"/>
        </w:rPr>
        <w:t xml:space="preserve">Figure 2 | </w:t>
      </w:r>
      <w:r>
        <w:rPr>
          <w:sz w:val="22"/>
        </w:rPr>
        <w:t>Survival curves for three mass configurations. Blue dots: empirical survival from 5,000 N-body simulations. Red line: linear 3-compartment PK model prediction (sum of three exponentials). The multi-exponential structure is statistically necessary (KS test p &lt; 0.001 versus single exponential). (a) Equal mass (1:1:1). (b) Unequal mass (1:2:0.5). (c) Democratic initial conditions.</w:t>
      </w:r>
    </w:p>
    <w:p>
      <w:pPr>
        <w:pStyle w:val="Heading2"/>
      </w:pPr>
      <w:r>
        <w:t>Nonlinear PK captures sticky chaos</w:t>
      </w:r>
    </w:p>
    <w:p>
      <w:r>
        <w:rPr>
          <w:sz w:val="22"/>
        </w:rPr>
        <w:t>While the linear PK model fits the bulk of the lifetime distribution, it systematically underestimates the long-lived tail—a signature of 'sticky chaos', where trajectories become trapped near periodic orbits for anomalously long times.</w:t>
      </w:r>
      <w:r>
        <w:rPr>
          <w:sz w:val="16"/>
          <w:vertAlign w:val="superscript"/>
        </w:rPr>
        <w:t>11,12</w:t>
      </w:r>
      <w:r>
        <w:rPr>
          <w:sz w:val="22"/>
        </w:rPr>
        <w:t xml:space="preserve"> In PK language, this corresponds to saturable (capacity-limited) elimination: when the system lingers near a stable periodic orbit, the escape rate decreases rather than remaining constant.</w:t>
      </w:r>
    </w:p>
    <w:p>
      <w:r>
        <w:rPr>
          <w:sz w:val="22"/>
        </w:rPr>
        <w:t>We model this by replacing the first-order elimination k_e times P with Michaelis-Menten kinetics: V_max times P divided by (K_m + P). This hybrid model—linear inter-compartmental transfer with nonlinear elimination—produces a survival function whose tail decays as t to the power negative alpha times exp(-lambda_slow times t), capturing the power-law correction (Fig. 3).</w:t>
      </w:r>
    </w:p>
    <w:p>
      <w:r>
        <w:rPr>
          <w:sz w:val="22"/>
        </w:rPr>
        <w:t>Fitting the hybrid model to all three mass configurations yields power-law exponents alpha approximately equal to 1.1-2.6, with tail RMSE improvement of 36-42% over the linear model for unequal and democratic configurations. For the equal-mass case, the linear model is already adequate (no significant tail excess), consistent with the known weaker stickiness in the symmetric case.</w:t>
      </w:r>
      <w:r>
        <w:rPr>
          <w:sz w:val="16"/>
          <w:vertAlign w:val="superscript"/>
        </w:rPr>
        <w:t>13</w:t>
      </w:r>
      <w:r>
        <w:rPr>
          <w:sz w:val="22"/>
        </w:rPr>
      </w:r>
    </w:p>
    <w:p>
      <w:pPr>
        <w:jc w:val="center"/>
      </w:pPr>
      <w:r>
        <w:drawing>
          <wp:inline xmlns:a="http://schemas.openxmlformats.org/drawingml/2006/main" xmlns:pic="http://schemas.openxmlformats.org/drawingml/2006/picture">
            <wp:extent cx="5486400" cy="1900019"/>
            <wp:docPr id="3" name="Picture 3"/>
            <wp:cNvGraphicFramePr>
              <a:graphicFrameLocks noChangeAspect="1"/>
            </wp:cNvGraphicFramePr>
            <a:graphic>
              <a:graphicData uri="http://schemas.openxmlformats.org/drawingml/2006/picture">
                <pic:pic>
                  <pic:nvPicPr>
                    <pic:cNvPr id="0" name="fig3_nonlinear.png"/>
                    <pic:cNvPicPr/>
                  </pic:nvPicPr>
                  <pic:blipFill>
                    <a:blip r:embed="rId11"/>
                    <a:stretch>
                      <a:fillRect/>
                    </a:stretch>
                  </pic:blipFill>
                  <pic:spPr>
                    <a:xfrm>
                      <a:off x="0" y="0"/>
                      <a:ext cx="5486400" cy="1900019"/>
                    </a:xfrm>
                    <a:prstGeom prst="rect"/>
                  </pic:spPr>
                </pic:pic>
              </a:graphicData>
            </a:graphic>
          </wp:inline>
        </w:drawing>
      </w:r>
    </w:p>
    <w:p>
      <w:pPr>
        <w:spacing w:before="120" w:after="240"/>
      </w:pPr>
      <w:r>
        <w:rPr>
          <w:b/>
          <w:sz w:val="20"/>
        </w:rPr>
        <w:t xml:space="preserve">Figure 3 | </w:t>
      </w:r>
      <w:r>
        <w:rPr>
          <w:sz w:val="22"/>
        </w:rPr>
        <w:t>Linear versus nonlinear PK model comparison. Log-log survival plots for three mass configurations. Blue dots: N-body simulation data. Red: linear PK (multi-exponential). Green dashed: hybrid Michaelis-Menten model capturing the power-law tail from sticky chaos. (a) Equal mass: linear model adequate. (b) Unequal mass: 42% tail RMSE improvement. (c) Democratic: 36% improvement.</w:t>
      </w:r>
    </w:p>
    <w:p>
      <w:pPr>
        <w:pStyle w:val="Heading2"/>
      </w:pPr>
      <w:r>
        <w:t>Population PK reveals allometric scaling</w:t>
      </w:r>
    </w:p>
    <w:p>
      <w:r>
        <w:rPr>
          <w:sz w:val="22"/>
        </w:rPr>
        <w:t>Clinical PK uses population (mixed-effects) modelling to relate individual PK parameters to patient covariates such as body weight and renal function.</w:t>
      </w:r>
      <w:r>
        <w:rPr>
          <w:sz w:val="16"/>
          <w:vertAlign w:val="superscript"/>
        </w:rPr>
        <w:t>14</w:t>
      </w:r>
      <w:r>
        <w:rPr>
          <w:sz w:val="22"/>
        </w:rPr>
        <w:t xml:space="preserve"> We apply the same methodology to the three-body problem: the 'covariates' are the mass ratios of the three bodies.</w:t>
      </w:r>
    </w:p>
    <w:p>
      <w:r>
        <w:rPr>
          <w:sz w:val="22"/>
        </w:rPr>
        <w:t xml:space="preserve">Scanning 64 mass configurations (m_2, m_3 in </w:t>
      </w:r>
      <w:r>
        <w:rPr>
          <w:sz w:val="16"/>
          <w:vertAlign w:val="superscript"/>
        </w:rPr>
        <w:t>0.25, 0.5, 0.75, 1, 1.5, 2, 3, 4</w:t>
      </w:r>
      <w:r>
        <w:rPr>
          <w:sz w:val="22"/>
        </w:rPr>
        <w:t xml:space="preserve"> with m_1 = 1), we fit a log-linear population model: log(MRT) = beta_0 + beta_1 times log(mu_12) + beta_2 times log(mu_out) + beta_3 times log(M) + eta, where mu_12 is the reduced mass of the initial binary, mu_out is the binary-single reduced mass, and M is total mass (Fig. 4).</w:t>
      </w:r>
    </w:p>
    <w:p>
      <w:r>
        <w:rPr>
          <w:sz w:val="22"/>
        </w:rPr>
        <w:t>The population model yields MRT proportional to mu_12 to the 2.08 times mu_out to the -1.68 times M to the -0.62, with R-squared = 0.67 and inter-individual variability omega = 0.35. The positive exponent on mu_12 indicates that heavier binaries survive longer (deeper potential wells), while the negative exponent on mu_out indicates that heavier incoming bodies disrupt the system faster—both physically intuitive and quantitatively novel.</w:t>
      </w:r>
    </w:p>
    <w:p>
      <w:r>
        <w:rPr>
          <w:sz w:val="22"/>
        </w:rPr>
        <w:t>Additionally, the escape probability of the lightest body follows a logistic model in mass fraction, analogous to the dose-response relationship in pharmacology. This provides a closed-form predictor for which body will be ejected, a result of practical value for stellar dynamics simulations.</w:t>
      </w:r>
    </w:p>
    <w:p>
      <w:pPr>
        <w:jc w:val="center"/>
      </w:pPr>
      <w:r>
        <w:drawing>
          <wp:inline xmlns:a="http://schemas.openxmlformats.org/drawingml/2006/main" xmlns:pic="http://schemas.openxmlformats.org/drawingml/2006/picture">
            <wp:extent cx="5486400" cy="3905862"/>
            <wp:docPr id="4" name="Picture 4"/>
            <wp:cNvGraphicFramePr>
              <a:graphicFrameLocks noChangeAspect="1"/>
            </wp:cNvGraphicFramePr>
            <a:graphic>
              <a:graphicData uri="http://schemas.openxmlformats.org/drawingml/2006/picture">
                <pic:pic>
                  <pic:nvPicPr>
                    <pic:cNvPr id="0" name="fig4_population_pk.png"/>
                    <pic:cNvPicPr/>
                  </pic:nvPicPr>
                  <pic:blipFill>
                    <a:blip r:embed="rId12"/>
                    <a:stretch>
                      <a:fillRect/>
                    </a:stretch>
                  </pic:blipFill>
                  <pic:spPr>
                    <a:xfrm>
                      <a:off x="0" y="0"/>
                      <a:ext cx="5486400" cy="3905862"/>
                    </a:xfrm>
                    <a:prstGeom prst="rect"/>
                  </pic:spPr>
                </pic:pic>
              </a:graphicData>
            </a:graphic>
          </wp:inline>
        </w:drawing>
      </w:r>
    </w:p>
    <w:p>
      <w:pPr>
        <w:spacing w:before="120" w:after="240"/>
      </w:pPr>
      <w:r>
        <w:rPr>
          <w:b/>
          <w:sz w:val="20"/>
        </w:rPr>
        <w:t xml:space="preserve">Figure 4 | </w:t>
      </w:r>
      <w:r>
        <w:rPr>
          <w:sz w:val="22"/>
        </w:rPr>
        <w:t>Population PK analysis of mass-ratio dependence. (a) MRT versus reduced mass of binary-single system. (b) Median lifetime versus incoming body mass. (c) Mean excursions versus lightest mass fraction. (d) Lightest-body escape probability with logistic fit. (e) Population model predicted versus observed MRT (R-squared = 0.67). (f) Heatmap of slowest half-life as function of m_2 and m_3.</w:t>
      </w:r>
    </w:p>
    <w:p>
      <w:pPr>
        <w:pStyle w:val="Heading2"/>
      </w:pPr>
      <w:r>
        <w:t>Reverse mapping: TMDD stability analysis</w:t>
      </w:r>
    </w:p>
    <w:p>
      <w:r>
        <w:rPr>
          <w:sz w:val="22"/>
        </w:rPr>
        <w:t>The structural equivalence works in both directions. Target-mediated drug disposition (TMDD)—where a drug binds a receptor to form a complex that is then internalised—is a three-state system with identical matrix structure to the three-body compartment model.</w:t>
      </w:r>
      <w:r>
        <w:rPr>
          <w:sz w:val="16"/>
          <w:vertAlign w:val="superscript"/>
        </w:rPr>
        <w:t>15,16</w:t>
      </w:r>
      <w:r>
        <w:rPr>
          <w:sz w:val="22"/>
        </w:rPr>
      </w:r>
    </w:p>
    <w:p>
      <w:r>
        <w:rPr>
          <w:sz w:val="22"/>
        </w:rPr>
        <w:t>We demonstrate that the Jacobian eigenvalue analysis used to assess Lagrange point stability in celestial mechanics provides a natural framework for TMDD stability analysis (Fig. 5). The dose-response bifurcation curve—identifying stable versus unstable steady states as a function of drug input rate—is the pharmacological analogue of the Mardling-Aarseth stability criterion for hierarchical triples.</w:t>
      </w:r>
      <w:r>
        <w:rPr>
          <w:sz w:val="16"/>
          <w:vertAlign w:val="superscript"/>
        </w:rPr>
        <w:t>17</w:t>
      </w:r>
      <w:r>
        <w:rPr>
          <w:sz w:val="22"/>
        </w:rPr>
      </w:r>
    </w:p>
    <w:p>
      <w:r>
        <w:rPr>
          <w:sz w:val="22"/>
        </w:rPr>
        <w:t>This reverse mapping suggests that the rich stability theory of N-body systems (KAM tori, invariant manifolds, homoclinic tangles) could be imported wholesale into nonlinear pharmacokinetics, particularly for complex biologics with multiple binding sites.</w:t>
      </w:r>
    </w:p>
    <w:p>
      <w:pPr>
        <w:jc w:val="center"/>
      </w:pPr>
      <w:r>
        <w:drawing>
          <wp:inline xmlns:a="http://schemas.openxmlformats.org/drawingml/2006/main" xmlns:pic="http://schemas.openxmlformats.org/drawingml/2006/picture">
            <wp:extent cx="5486400" cy="1897475"/>
            <wp:docPr id="5" name="Picture 5"/>
            <wp:cNvGraphicFramePr>
              <a:graphicFrameLocks noChangeAspect="1"/>
            </wp:cNvGraphicFramePr>
            <a:graphic>
              <a:graphicData uri="http://schemas.openxmlformats.org/drawingml/2006/picture">
                <pic:pic>
                  <pic:nvPicPr>
                    <pic:cNvPr id="0" name="fig5_tmdd.png"/>
                    <pic:cNvPicPr/>
                  </pic:nvPicPr>
                  <pic:blipFill>
                    <a:blip r:embed="rId13"/>
                    <a:stretch>
                      <a:fillRect/>
                    </a:stretch>
                  </pic:blipFill>
                  <pic:spPr>
                    <a:xfrm>
                      <a:off x="0" y="0"/>
                      <a:ext cx="5486400" cy="1897475"/>
                    </a:xfrm>
                    <a:prstGeom prst="rect"/>
                  </pic:spPr>
                </pic:pic>
              </a:graphicData>
            </a:graphic>
          </wp:inline>
        </w:drawing>
      </w:r>
    </w:p>
    <w:p>
      <w:pPr>
        <w:spacing w:before="120" w:after="240"/>
      </w:pPr>
      <w:r>
        <w:rPr>
          <w:b/>
          <w:sz w:val="20"/>
        </w:rPr>
        <w:t xml:space="preserve">Figure 5 | </w:t>
      </w:r>
      <w:r>
        <w:rPr>
          <w:sz w:val="22"/>
        </w:rPr>
        <w:t>TMDD reverse application. (a) Dose-response bifurcation curve showing stable (blue) and unstable (red) steady states. (b) Receptor occupancy versus dose rate. (c) Slowest Jacobian eigenvalue versus dose, identifying the stability boundary (analogue of Lagrange point stability in celestial mechanics).</w:t>
      </w:r>
    </w:p>
    <w:p>
      <w:pPr>
        <w:pStyle w:val="Heading2"/>
      </w:pPr>
      <w:r>
        <w:t>3D robustness and gravitational-wave dissipation</w:t>
      </w:r>
    </w:p>
    <w:p>
      <w:r>
        <w:rPr>
          <w:sz w:val="22"/>
        </w:rPr>
        <w:t>To test whether the PK mapping is an artefact of the 2D planar geometry or the conservative (energy-preserving) assumption, we extended the simulations to fully three-dimensional scattering with randomised orbital planes (uniform on SO(3)), thermal eccentricity (f(e) = 2e), and isotropic third-body approach directions (2,000 runs per mass configuration).</w:t>
      </w:r>
    </w:p>
    <w:p>
      <w:r>
        <w:rPr>
          <w:sz w:val="22"/>
        </w:rPr>
        <w:t>The three-compartment PK model remains valid in all 3D configurations, with KS statistics of 0.16–0.31 across equal, unequal, and democratic mass setups—comparable to the 2D values (Fig. 6). The median lifetimes shift modestly (3D conservative: 246–438 dynamical times versus 2D: 239–1,043), reflecting the larger phase space available in 3D.</w:t>
      </w:r>
    </w:p>
    <w:p>
      <w:r>
        <w:rPr>
          <w:sz w:val="22"/>
        </w:rPr>
        <w:t>Adding 2.5 post-Newtonian gravitational-wave radiation reaction</w:t>
      </w:r>
      <w:r>
        <w:rPr>
          <w:sz w:val="16"/>
          <w:vertAlign w:val="superscript"/>
        </w:rPr>
        <w:t>19</w:t>
      </w:r>
      <w:r>
        <w:rPr>
          <w:sz w:val="22"/>
        </w:rPr>
        <w:t xml:space="preserve"> (c = 100 in code units; v_orbital approximately 1) systematically shortens lifetimes without destroying the compartment structure (Fig. 7). The lifetime ratio tau_diss/tau_cons ranges from 0.98 (equal mass) to 0.83 (democratic), with median fractional energy loss |Delta E/E| = 0.10–0.86% per encounter. The democratic configuration shows the strongest dissipation effect (17% lifetime reduction), consistent with the longer interaction times providing more opportunity for gravitational-wave energy extraction.</w:t>
      </w:r>
    </w:p>
    <w:p>
      <w:r>
        <w:rPr>
          <w:sz w:val="22"/>
        </w:rPr>
        <w:t>These results indicate that the PK mapping is robust across dimensionality, eccentricity distribution, and the presence of dissipation—and is therefore applicable to astrophysically realistic encounters.</w:t>
      </w:r>
    </w:p>
    <w:p>
      <w:pPr>
        <w:jc w:val="center"/>
      </w:pPr>
      <w:r>
        <w:drawing>
          <wp:inline xmlns:a="http://schemas.openxmlformats.org/drawingml/2006/main" xmlns:pic="http://schemas.openxmlformats.org/drawingml/2006/picture">
            <wp:extent cx="5486400" cy="5190342"/>
            <wp:docPr id="6" name="Picture 6"/>
            <wp:cNvGraphicFramePr>
              <a:graphicFrameLocks noChangeAspect="1"/>
            </wp:cNvGraphicFramePr>
            <a:graphic>
              <a:graphicData uri="http://schemas.openxmlformats.org/drawingml/2006/picture">
                <pic:pic>
                  <pic:nvPicPr>
                    <pic:cNvPr id="0" name="fig6_3d_dissipative_comparison.png"/>
                    <pic:cNvPicPr/>
                  </pic:nvPicPr>
                  <pic:blipFill>
                    <a:blip r:embed="rId14"/>
                    <a:stretch>
                      <a:fillRect/>
                    </a:stretch>
                  </pic:blipFill>
                  <pic:spPr>
                    <a:xfrm>
                      <a:off x="0" y="0"/>
                      <a:ext cx="5486400" cy="5190342"/>
                    </a:xfrm>
                    <a:prstGeom prst="rect"/>
                  </pic:spPr>
                </pic:pic>
              </a:graphicData>
            </a:graphic>
          </wp:inline>
        </w:drawing>
      </w:r>
    </w:p>
    <w:p>
      <w:pPr>
        <w:spacing w:before="120" w:after="240"/>
      </w:pPr>
      <w:r>
        <w:rPr>
          <w:b/>
          <w:sz w:val="20"/>
        </w:rPr>
        <w:t xml:space="preserve">Figure 6 | </w:t>
      </w:r>
      <w:r>
        <w:rPr>
          <w:sz w:val="22"/>
        </w:rPr>
        <w:t>PK model validity across dimensionality and dissipation. Rows: 2D conservative, 3D conservative, 3D dissipative (c = 100). Columns: equal mass (1:1:1), unequal mass (1:2:0.5), democratic. Blue dots: N-body survival data. Red: linear 3-compartment PK fit. KS statistics annotated.</w:t>
      </w:r>
    </w:p>
    <w:p>
      <w:pPr>
        <w:jc w:val="center"/>
      </w:pPr>
      <w:r>
        <w:drawing>
          <wp:inline xmlns:a="http://schemas.openxmlformats.org/drawingml/2006/main" xmlns:pic="http://schemas.openxmlformats.org/drawingml/2006/picture">
            <wp:extent cx="5486400" cy="1900019"/>
            <wp:docPr id="7" name="Picture 7"/>
            <wp:cNvGraphicFramePr>
              <a:graphicFrameLocks noChangeAspect="1"/>
            </wp:cNvGraphicFramePr>
            <a:graphic>
              <a:graphicData uri="http://schemas.openxmlformats.org/drawingml/2006/picture">
                <pic:pic>
                  <pic:nvPicPr>
                    <pic:cNvPr id="0" name="fig7_dissipation_effect.png"/>
                    <pic:cNvPicPr/>
                  </pic:nvPicPr>
                  <pic:blipFill>
                    <a:blip r:embed="rId15"/>
                    <a:stretch>
                      <a:fillRect/>
                    </a:stretch>
                  </pic:blipFill>
                  <pic:spPr>
                    <a:xfrm>
                      <a:off x="0" y="0"/>
                      <a:ext cx="5486400" cy="1900019"/>
                    </a:xfrm>
                    <a:prstGeom prst="rect"/>
                  </pic:spPr>
                </pic:pic>
              </a:graphicData>
            </a:graphic>
          </wp:inline>
        </w:drawing>
      </w:r>
    </w:p>
    <w:p>
      <w:pPr>
        <w:spacing w:before="120" w:after="240"/>
      </w:pPr>
      <w:r>
        <w:rPr>
          <w:b/>
          <w:sz w:val="20"/>
        </w:rPr>
        <w:t xml:space="preserve">Figure 7 | </w:t>
      </w:r>
      <w:r>
        <w:rPr>
          <w:sz w:val="22"/>
        </w:rPr>
        <w:t>Effect of gravitational-wave dissipation on lifetime distributions. Blue: 3D conservative. Red: 3D with 2.5PN radiation reaction (c = 100). Dashed: PK model fits. Dissipation systematically shortens lifetimes (tau_diss/tau_cons = 0.83-0.98) without destroying the PK model structure.</w:t>
      </w:r>
    </w:p>
    <w:p>
      <w:pPr>
        <w:pStyle w:val="Heading1"/>
      </w:pPr>
      <w:r>
        <w:t>Discussion</w:t>
      </w:r>
    </w:p>
    <w:p>
      <w:r>
        <w:rPr>
          <w:sz w:val="22"/>
        </w:rPr>
        <w:t>We have demonstrated a quantitative structural correspondence between two seemingly unrelated fields: celestial mechanics and pharmacokinetics. The key insight is that both describe irreversible first-passage problems in multi-state continuous-time Markov chains, and that the mathematical structure—not merely the analogy—is shared.</w:t>
      </w:r>
    </w:p>
    <w:p>
      <w:r>
        <w:rPr>
          <w:sz w:val="22"/>
        </w:rPr>
        <w:t>The practical implications are bidirectional. For celestial mechanics: (i) the population PK framework provides a principled way to parameterise outcome statistics as a function of mass ratios, replacing ad hoc fitting functions;</w:t>
      </w:r>
      <w:r>
        <w:rPr>
          <w:sz w:val="16"/>
          <w:vertAlign w:val="superscript"/>
        </w:rPr>
        <w:t>5-7</w:t>
      </w:r>
      <w:r>
        <w:rPr>
          <w:sz w:val="22"/>
        </w:rPr>
        <w:t xml:space="preserve"> (ii) the Michaelis-Menten model offers a minimal parametrisation of sticky chaos that interpolates between the ergodic (linear) regime and the trapped (power-law) regime; (iii) PK software (NONMEM, Monolix) can be directly applied to N-body simulation output.</w:t>
      </w:r>
    </w:p>
    <w:p>
      <w:r>
        <w:rPr>
          <w:sz w:val="22"/>
        </w:rPr>
        <w:t>For pharmacology: (i) the dynamical-systems stability framework (Lagrange points, invariant manifolds) provides geometric insight into TMDD steady states that goes beyond the standard eigenvalue analysis; (ii) the concept of 'sticky chaos' maps to the clinically important phenomenon of prolonged drug-receptor residence time;</w:t>
      </w:r>
      <w:r>
        <w:rPr>
          <w:sz w:val="16"/>
          <w:vertAlign w:val="superscript"/>
        </w:rPr>
        <w:t>18</w:t>
      </w:r>
      <w:r>
        <w:rPr>
          <w:sz w:val="22"/>
        </w:rPr>
        <w:t xml:space="preserve"> (iii) the allometric scaling framework transfers predictive power across species and across mass configurations.</w:t>
      </w:r>
    </w:p>
    <w:p>
      <w:r>
        <w:rPr>
          <w:sz w:val="22"/>
        </w:rPr>
        <w:t>The robustness of the PK mapping to dimensionality and dissipation (Figs. 6–7) has astrophysical implications. The 17% lifetime reduction in democratic configurations under gravitational-wave dissipation may inform merger-rate estimates for LISA-band sources: three-body encounters in dense clusters will resolve faster than energy-conserving estimates suggest, potentially increasing the predicted rate of observable in-spirals. The population PK framework may provide closed-form event-rate formulae parameterised by cluster mass function, potentially complementing expensive Monte Carlo surveys.</w:t>
      </w:r>
    </w:p>
    <w:p>
      <w:r>
        <w:rPr>
          <w:sz w:val="22"/>
        </w:rPr>
        <w:t>Remaining limitations include the perturbative treatment of radiation reaction (valid only for c &gt;&gt; v_orbital) and the absence of tidal dissipation relevant for stellar encounters. The linear PK model assumes ergodicity, which breaks down for very long lifetimes; the nonlinear extension addresses this but at the cost of additional parameters.</w:t>
      </w:r>
    </w:p>
    <w:p>
      <w:r>
        <w:rPr>
          <w:sz w:val="22"/>
        </w:rPr>
        <w:t>More broadly, the correspondence inverts the conventional flow of methodology between the physical sciences and clinical medicine. The mathematical theory of pharmacokinetics was distilled from bedside observations—therapeutic drug monitoring, dose–response studies, clinical trial design—and aged over six decades of patient-facing application into a robust quantitative infrastructure. That infrastructure has been casked in regulatory-grade software (NONMEM, Monolix) and in saturation-kinetics theory refined through countless dosing studies (Michaelis–Menten, TMDD). The present work decants this accumulated clinical knowledge into an entirely new vessel—celestial mechanics—where, aerated by contact with a different physical context, it reveals latent capabilities that were invisible within medicine alone. Several concrete directions follow. (i) The three-compartment model generalises naturally to N-body hierarchies: quadruple and higher-order multiples in dense star clusters map onto N-compartment cascade models whose analytical solutions are textbook clinical pharmacokinetics.</w:t>
      </w:r>
      <w:r>
        <w:rPr>
          <w:sz w:val="16"/>
          <w:vertAlign w:val="superscript"/>
        </w:rPr>
        <w:t>8,9</w:t>
      </w:r>
      <w:r>
        <w:rPr>
          <w:sz w:val="22"/>
        </w:rPr>
        <w:t xml:space="preserve"> (ii) Population PK covariate modelling—originally designed to account for patient weight, renal function, and genotype in clinical trials—can treat mass ratios, angular momenta, and cluster environments as covariates in nonlinear mixed-effects regressions, enabling systematic astrophysical parameter scans on platforms built for drug regulation. (iii) The closed-form MRT scaling (MRT proportional to mu_12 to the alpha times mu_out to the beta times M to the gamma) can be convolved with a cluster mass function to yield gravitational-wave event-rate estimates for LISA-band sources without expensive Monte Carlo surveys. (iv) Conversely, the geometric stability theory of celestial mechanics (KAM tori, invariant manifolds) may inform the rational design of drugs with controlled target residence times—a key determinant of in vivo efficacy that is central to modern drug discovery.</w:t>
      </w:r>
      <w:r>
        <w:rPr>
          <w:sz w:val="16"/>
          <w:vertAlign w:val="superscript"/>
        </w:rPr>
        <w:t>18</w:t>
      </w:r>
      <w:r>
        <w:rPr>
          <w:sz w:val="22"/>
        </w:rPr>
        <w:t xml:space="preserve"> (v) Because the mapping relies only on the CTMC structure of multi-state first-passage processes, it is not limited to gravitational systems; chemical reaction networks, ecological predator–prey dynamics, and other multi-state chaotic systems may admit analogous descriptions rooted in clinical pharmacokinetic theory, suggesting a broader programme of 'pharmacokinetics of chaos.'</w:t>
      </w:r>
    </w:p>
    <w:p>
      <w:r>
        <w:rPr>
          <w:sz w:val="22"/>
        </w:rPr>
        <w:t>In conclusion, the pharmacokinetic compartment model provides both a conceptual lens and a computational toolkit for the three-body problem that complements existing statistical-mechanical approaches. By demonstrating that clinical medicine—through its pharmacokinetic tradition—can export, not merely import, quantitative frameworks to the physical sciences, this work illustrates how disciplinary boundaries may conceal unexploited structural connections.</w:t>
      </w:r>
    </w:p>
    <w:p>
      <w:r>
        <w:br w:type="page"/>
      </w:r>
    </w:p>
    <w:p>
      <w:pPr>
        <w:pStyle w:val="Heading1"/>
      </w:pPr>
      <w:r>
        <w:t>Methods</w:t>
      </w:r>
    </w:p>
    <w:p>
      <w:pPr>
        <w:pStyle w:val="Heading2"/>
      </w:pPr>
      <w:r>
        <w:t>N-body simulations</w:t>
      </w:r>
    </w:p>
    <w:p>
      <w:r>
        <w:rPr>
          <w:sz w:val="22"/>
        </w:rPr>
        <w:t>Three-body scattering simulations were performed using a symplectic leapfrog (Stormer-Verlet) integrator implemented in Julia 1.10. Initial conditions: binary with semi-major axis a = 1 and eccentricity e = 0; third body approaching from r = 10a with velocity at infinity v_inf = 0.1 (parabolic-like encounters). Impact parameter b sampled uniformly in b-squared from 0 to b_max = 5a. Integration continued until escape (body reaching r &gt; 20a with positive energy) or t_max = 10,000 dynamical times. Adaptive timestep: dt = 0.01 times r_min / v_max. Energy conservation better than 10 to the -8 in all runs.</w:t>
      </w:r>
    </w:p>
    <w:p>
      <w:r>
        <w:rPr>
          <w:sz w:val="22"/>
        </w:rPr>
        <w:t>For each mass configuration, 5,000 scattering experiments were performed (total: 15,000 for Phase 1; 5,000 times 64 = 320,000 for the population PK scan). Binary configuration was identified at each timestep by finding the most-bound pair (most negative pairwise energy). A configuration transition was recorded when the most-bound pair identity changed and persisted for more than 5 timesteps.</w:t>
      </w:r>
    </w:p>
    <w:p>
      <w:pPr>
        <w:pStyle w:val="Heading2"/>
      </w:pPr>
      <w:r>
        <w:t>PK model estimation</w:t>
      </w:r>
    </w:p>
    <w:p>
      <w:r>
        <w:rPr>
          <w:sz w:val="22"/>
        </w:rPr>
        <w:t>Transition rates were estimated by maximum-likelihood for a continuous-time Markov chain: k_ij = N_ij / T_i, where N_ij is the count of transitions from compartment i to j, and T_i is total observed dwell time in compartment i. The 3 times 3 rate matrix A was constructed such that A_ij = k_ji for i not equal to j, and A_ii = negative sum of (k_ij + k_ei).</w:t>
      </w:r>
    </w:p>
    <w:p>
      <w:r>
        <w:rPr>
          <w:sz w:val="22"/>
        </w:rPr>
        <w:t>Survival function: S(t) = ones transpose times exp(A times t) times P_0. Eigenvalues of A give the three decay rates; half-lives t_1/2 = ln(2) / |lambda_i|. Mean residence time (MRT) = negative ones transpose times A inverse times P_0.</w:t>
      </w:r>
    </w:p>
    <w:p>
      <w:pPr>
        <w:pStyle w:val="Heading2"/>
      </w:pPr>
      <w:r>
        <w:t>Nonlinear PK model</w:t>
      </w:r>
    </w:p>
    <w:p>
      <w:r>
        <w:rPr>
          <w:sz w:val="22"/>
        </w:rPr>
        <w:t>The hybrid model uses first-order inter-compartmental transfer and Michaelis-Menten elimination: dP_i/dt = sum of k_ji times P_j minus (sum of k_ij) times P_i minus V_max,i times P_i / (K_m + P_i). The stretched-exponential survival S(t) = sum of w_i times exp(-lambda_i times t) times t to the -alpha was fitted by minimising log-space squared error against the empirical survival function (Nelder-Mead, 10,000 iterations).</w:t>
      </w:r>
    </w:p>
    <w:p>
      <w:pPr>
        <w:pStyle w:val="Heading2"/>
      </w:pPr>
      <w:r>
        <w:t>Population PK analysis</w:t>
      </w:r>
    </w:p>
    <w:p>
      <w:r>
        <w:rPr>
          <w:sz w:val="22"/>
        </w:rPr>
        <w:t xml:space="preserve">For 64 mass configurations (m_1 = 1 fixed; m_2, m_3 in </w:t>
      </w:r>
      <w:r>
        <w:rPr>
          <w:sz w:val="16"/>
          <w:vertAlign w:val="superscript"/>
        </w:rPr>
        <w:t>0.25, 0.5, 0.75, 1, 1.5, 2, 3, 4</w:t>
      </w:r>
      <w:r>
        <w:rPr>
          <w:sz w:val="22"/>
        </w:rPr>
        <w:t>), PK parameters were estimated independently. The population model: log(MRT_i) = beta_0 + beta_1 times log(mu_12,i) + beta_2 times log(mu_out,i) + beta_3 times log(M_i) + eta_i, where eta ~ N(0, omega-squared), was fitted by ordinary least squares. R-squared and omega (inter-individual variability) were computed from residuals.</w:t>
      </w:r>
    </w:p>
    <w:p>
      <w:pPr>
        <w:pStyle w:val="Heading2"/>
      </w:pPr>
      <w:r>
        <w:t>TMDD analysis</w:t>
      </w:r>
    </w:p>
    <w:p>
      <w:r>
        <w:rPr>
          <w:sz w:val="22"/>
        </w:rPr>
        <w:t>The TMDD ODE system (drug C, receptor R, complex CR) was solved with typical monoclonal antibody parameters: k_syn = 0.1, k_deg = 0.01, k_on = 0.1, k_off = 0.001, k_int = 0.05, k_el = 0.01. Steady states were found numerically (fsolve with multiple initial guesses). Stability was assessed by Jacobian eigenvalues. Dose-response bifurcation was computed over dose in [10 to the -3, 10 to the 2].</w:t>
      </w:r>
    </w:p>
    <w:p>
      <w:pPr>
        <w:pStyle w:val="Heading2"/>
      </w:pPr>
      <w:r>
        <w:t>Phase-space flux comparison</w:t>
      </w:r>
    </w:p>
    <w:p>
      <w:r>
        <w:rPr>
          <w:sz w:val="22"/>
        </w:rPr>
        <w:t>Theoretical transition rates were predicted from phase-space volume scaling: k_ij proportional to (mu_to to the 3/2 times m_single to the 3/2) divided by (mu_from to the 3/2 times m_single_from to the 3/2), following Stone and Leigh.</w:t>
      </w:r>
      <w:r>
        <w:rPr>
          <w:sz w:val="16"/>
          <w:vertAlign w:val="superscript"/>
        </w:rPr>
        <w:t>6</w:t>
      </w:r>
      <w:r>
        <w:rPr>
          <w:sz w:val="22"/>
        </w:rPr>
        <w:t xml:space="preserve"> Escape rates scale as (m_single / M) to the 3/2. Rates were normalised to the dynamical timescale t_dyn = 1 / sqrt(M).</w:t>
      </w:r>
    </w:p>
    <w:p>
      <w:pPr>
        <w:pStyle w:val="Heading2"/>
      </w:pPr>
      <w:r>
        <w:t>3D extension and gravitational-wave dissipation</w:t>
      </w:r>
    </w:p>
    <w:p>
      <w:r>
        <w:rPr>
          <w:sz w:val="22"/>
        </w:rPr>
        <w:t>The 3D extension used fully randomised initial conditions: binary orbital plane sampled uniformly on SO(3), eccentricity from the thermal distribution f(e) = 2e (capped at e = 0.95), and third-body approach direction uniform on S-squared. For each of 3 mass configurations, 2,000 scattering experiments were performed.</w:t>
      </w:r>
    </w:p>
    <w:p>
      <w:r>
        <w:rPr>
          <w:sz w:val="22"/>
        </w:rPr>
        <w:t>Gravitational-wave dissipation was implemented via the 2.5PN radiation reaction acceleration (leading-order Burke-Thorne term).</w:t>
      </w:r>
      <w:r>
        <w:rPr>
          <w:sz w:val="16"/>
          <w:vertAlign w:val="superscript"/>
        </w:rPr>
        <w:t>19</w:t>
      </w:r>
      <w:r>
        <w:rPr>
          <w:sz w:val="22"/>
        </w:rPr>
        <w:t xml:space="preserve"> For each pair (i,j) with relative separation r and velocity v, the dissipative acceleration is: a_2.5PN = (8/5) times mu times M-squared divided by (c-to-the-5 times r-cubed) times [</w:t>
      </w:r>
      <w:r>
        <w:rPr>
          <w:sz w:val="16"/>
          <w:vertAlign w:val="superscript"/>
        </w:rPr>
        <w:t>3v-squared + (17/3)M/r</w:t>
      </w:r>
      <w:r>
        <w:rPr>
          <w:sz w:val="22"/>
        </w:rPr>
        <w:t xml:space="preserve"> times v_r times n-hat minus </w:t>
      </w:r>
      <w:r>
        <w:rPr>
          <w:sz w:val="16"/>
          <w:vertAlign w:val="superscript"/>
        </w:rPr>
        <w:t>v-squared + 3M/r</w:t>
      </w:r>
      <w:r>
        <w:rPr>
          <w:sz w:val="22"/>
        </w:rPr>
        <w:t xml:space="preserve"> times v]. We set c = 100 in code units (v_orbital approximately 1), giving |Delta E/E| approximately 0.1-0.9% per encounter—consistent with the weak-field limit. Integration used velocity Verlet with the PN correction evaluated at the half-step velocity.</w:t>
      </w:r>
    </w:p>
    <w:p>
      <w:r>
        <w:br w:type="page"/>
      </w:r>
    </w:p>
    <w:p>
      <w:pPr>
        <w:pStyle w:val="Heading1"/>
      </w:pPr>
      <w:r>
        <w:t>References</w:t>
      </w:r>
    </w:p>
    <w:p>
      <w:r>
        <w:rPr>
          <w:sz w:val="20"/>
        </w:rPr>
        <w:t xml:space="preserve">1. </w:t>
      </w:r>
      <w:r>
        <w:rPr>
          <w:sz w:val="20"/>
        </w:rPr>
        <w:t>Newton, I. Philosophiae Naturalis Principia Mathematica (1687).</w:t>
      </w:r>
    </w:p>
    <w:p>
      <w:r>
        <w:rPr>
          <w:sz w:val="20"/>
        </w:rPr>
        <w:t xml:space="preserve">2. </w:t>
      </w:r>
      <w:r>
        <w:rPr>
          <w:sz w:val="20"/>
        </w:rPr>
        <w:t>Poincaré, H. Les méthodes nouvelles de la mécanique céleste (Gauthier-Villars, 1892).</w:t>
      </w:r>
    </w:p>
    <w:p>
      <w:r>
        <w:rPr>
          <w:sz w:val="20"/>
        </w:rPr>
        <w:t xml:space="preserve">3. </w:t>
      </w:r>
      <w:r>
        <w:rPr>
          <w:sz w:val="20"/>
        </w:rPr>
        <w:t>Boekholt, T. &amp; Portegies Zwart, S. On the reliability of N-body simulations. Comput. Astrophys. Cosmol. 2, 2 (2015).</w:t>
      </w:r>
    </w:p>
    <w:p>
      <w:r>
        <w:rPr>
          <w:sz w:val="20"/>
        </w:rPr>
        <w:t xml:space="preserve">4. </w:t>
      </w:r>
      <w:r>
        <w:rPr>
          <w:sz w:val="20"/>
        </w:rPr>
        <w:t>Heggie, D. C. Binary evolution in stellar dynamics. Mon. Not. R. Astron. Soc. 173, 729–787 (1975).</w:t>
      </w:r>
    </w:p>
    <w:p>
      <w:r>
        <w:rPr>
          <w:sz w:val="20"/>
        </w:rPr>
        <w:t xml:space="preserve">5. </w:t>
      </w:r>
      <w:r>
        <w:rPr>
          <w:sz w:val="20"/>
        </w:rPr>
        <w:t>Ginat, Y. B. &amp; Perets, H. B. Analytical, statistical approximate solution of dissipative and nondissipative binary-single stellar encounters. Nature 593, 395–398 (2021).</w:t>
      </w:r>
    </w:p>
    <w:p>
      <w:r>
        <w:rPr>
          <w:sz w:val="20"/>
        </w:rPr>
        <w:t xml:space="preserve">6. </w:t>
      </w:r>
      <w:r>
        <w:rPr>
          <w:sz w:val="20"/>
        </w:rPr>
        <w:t>Stone, N. C. &amp; Leigh, N. W. C. A statistical solution to the chaotic, non-hierarchical three-body problem. Nature 576, 406–410 (2019).</w:t>
      </w:r>
    </w:p>
    <w:p>
      <w:r>
        <w:rPr>
          <w:sz w:val="20"/>
        </w:rPr>
        <w:t xml:space="preserve">7. </w:t>
      </w:r>
      <w:r>
        <w:rPr>
          <w:sz w:val="20"/>
        </w:rPr>
        <w:t>Monaghan, J. J. A statistical theory of the disruption of three-body systems—II. Mon. Not. R. Astron. Soc. 177, 583–594 (1976).</w:t>
      </w:r>
    </w:p>
    <w:p>
      <w:r>
        <w:rPr>
          <w:sz w:val="20"/>
        </w:rPr>
        <w:t xml:space="preserve">8. </w:t>
      </w:r>
      <w:r>
        <w:rPr>
          <w:sz w:val="20"/>
        </w:rPr>
        <w:t>Rowland, M. &amp; Tozer, T. N. Clinical Pharmacokinetics and Pharmacodynamics: Concepts and Applications 4th edn (Lippincott Williams &amp; Wilkins, 2011).</w:t>
      </w:r>
    </w:p>
    <w:p>
      <w:r>
        <w:rPr>
          <w:sz w:val="20"/>
        </w:rPr>
        <w:t xml:space="preserve">9. </w:t>
      </w:r>
      <w:r>
        <w:rPr>
          <w:sz w:val="20"/>
        </w:rPr>
        <w:t>Gabrielsson, J. &amp; Weiner, D. Pharmacokinetic and Pharmacodynamic Data Analysis 5th edn (Swedish Pharmaceutical Press, 2016).</w:t>
      </w:r>
    </w:p>
    <w:p>
      <w:r>
        <w:rPr>
          <w:sz w:val="20"/>
        </w:rPr>
        <w:t xml:space="preserve">10. </w:t>
      </w:r>
      <w:r>
        <w:rPr>
          <w:sz w:val="20"/>
        </w:rPr>
        <w:t>Norris, J. R. Markov Chains (Cambridge Univ. Press, 1997).</w:t>
      </w:r>
    </w:p>
    <w:p>
      <w:r>
        <w:rPr>
          <w:sz w:val="20"/>
        </w:rPr>
        <w:t xml:space="preserve">11. </w:t>
      </w:r>
      <w:r>
        <w:rPr>
          <w:sz w:val="20"/>
        </w:rPr>
        <w:t>Mikkola, S. &amp; Tanikawa, K. Explicit symplectic algorithms for the three-body problem. Celest. Mech. Dyn. Astron. 74, 287–295 (1999).</w:t>
      </w:r>
    </w:p>
    <w:p>
      <w:r>
        <w:rPr>
          <w:sz w:val="20"/>
        </w:rPr>
        <w:t xml:space="preserve">12. </w:t>
      </w:r>
      <w:r>
        <w:rPr>
          <w:sz w:val="20"/>
        </w:rPr>
        <w:t>Manwadkar, V., Kol, B., Trani, A. A. &amp; Leigh, N. W. C. Chaos and Levy flights in the three-body problem. arXiv:2011.01850 (2020).</w:t>
      </w:r>
    </w:p>
    <w:p>
      <w:r>
        <w:rPr>
          <w:sz w:val="20"/>
        </w:rPr>
        <w:t xml:space="preserve">13. </w:t>
      </w:r>
      <w:r>
        <w:rPr>
          <w:sz w:val="20"/>
        </w:rPr>
        <w:t>Samsing, J. &amp; Ilan, T. Topology counts: force distributions in circular three-body systems. Nature 603, 237–240 (2022).</w:t>
      </w:r>
    </w:p>
    <w:p>
      <w:r>
        <w:rPr>
          <w:sz w:val="20"/>
        </w:rPr>
        <w:t xml:space="preserve">14. </w:t>
      </w:r>
      <w:r>
        <w:rPr>
          <w:sz w:val="20"/>
        </w:rPr>
        <w:t>Mould, D. R. &amp; Upton, R. N. Basic concepts in population modeling, simulation, and model-based drug development. CPT Pharmacometrics Syst. Pharmacol. 1, e6 (2012).</w:t>
      </w:r>
    </w:p>
    <w:p>
      <w:r>
        <w:rPr>
          <w:sz w:val="20"/>
        </w:rPr>
        <w:t xml:space="preserve">15. </w:t>
      </w:r>
      <w:r>
        <w:rPr>
          <w:sz w:val="20"/>
        </w:rPr>
        <w:t>Mager, D. E. &amp; Jusko, W. J. General pharmacokinetic model for drugs exhibiting target-mediated drug disposition. J. Pharmacokinet. Pharmacodyn. 28, 507–532 (2001).</w:t>
      </w:r>
    </w:p>
    <w:p>
      <w:r>
        <w:rPr>
          <w:sz w:val="20"/>
        </w:rPr>
        <w:t xml:space="preserve">16. </w:t>
      </w:r>
      <w:r>
        <w:rPr>
          <w:sz w:val="20"/>
        </w:rPr>
        <w:t>Gibiansky, L. &amp; Gibiansky, E. Target-mediated drug disposition model: approximations, identifiability of model parameters and applications to the population pharmacokinetic-pharmacodynamic modeling of biologics. Expert Opin. Drug Metab. Toxicol. 5, 803–812 (2009).</w:t>
      </w:r>
    </w:p>
    <w:p>
      <w:r>
        <w:rPr>
          <w:sz w:val="20"/>
        </w:rPr>
        <w:t xml:space="preserve">17. </w:t>
      </w:r>
      <w:r>
        <w:rPr>
          <w:sz w:val="20"/>
        </w:rPr>
        <w:t>Mardling, R. A. &amp; Aarseth, S. J. Tidal interactions in star cluster simulations. Mon. Not. R. Astron. Soc. 321, 398–420 (2001).</w:t>
      </w:r>
    </w:p>
    <w:p>
      <w:r>
        <w:rPr>
          <w:sz w:val="20"/>
        </w:rPr>
        <w:t xml:space="preserve">18. </w:t>
      </w:r>
      <w:r>
        <w:rPr>
          <w:sz w:val="20"/>
        </w:rPr>
        <w:t>Copeland, R. A. The drug–target residence time model: a 10-year retrospective. Nat. Rev. Drug Discov. 15, 87–95 (2016).</w:t>
      </w:r>
    </w:p>
    <w:p>
      <w:r>
        <w:rPr>
          <w:sz w:val="20"/>
        </w:rPr>
        <w:t xml:space="preserve">19. </w:t>
      </w:r>
      <w:r>
        <w:rPr>
          <w:sz w:val="20"/>
        </w:rPr>
        <w:t>Peters, P. C. Gravitational radiation and the motion of two point masses. Phys. Rev. 136, B1224–B1232 (1964).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