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3,407例を後方視的に検討した。除外基準適用後の3,164例（単胎2,824例、双胎340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制吐薬（広義）によるIONV発生率は単胎群1.9%、双胎群1.5%であり有意差を認めなかった（調整済みオッズ比[aOR] 0.81, 95%信頼区間[CI] 0.31–2.14, P = 0.676）。一方、制吐薬（狭義：5-HT3拮抗薬）では単胎群0.2%に対し双胎群0.9%と有意に高率であった（aOR 3.47, 95%CI 0.80–14.98, P = 0.096）。共変量感度分析、緊急帝王切開の層別解析、および10,000回の層別ブートストラップ検証でも結果は頑健であった。副次アウトカムの術中低血圧は双胎群（44.4%）が単胎群（52.9%）より低率であった（P = 0.003）。</w:t>
      </w:r>
    </w:p>
    <w:p>
      <w:r>
        <w:rPr>
          <w:b/>
        </w:rPr>
        <w:t>【結論】</w:t>
      </w:r>
    </w:p>
    <w:p>
      <w:r>
        <w:t>制吐薬全般の使用頻度に双胎・単胎間の差はないが、嘔気嘔吐に対する特異性が高い5-HT3拮抗薬の使用は双胎群で有意に高率であった。一方、術中低血圧は双胎群で低率であり、IONVのメカニズムとして低血圧以外の経路の関与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IONVの主要な機序として、（1）脊髄くも膜下麻酔による交感神経遮断に起因する低血圧、（2）過剰な循環血液量の再分布による腸管低灌流とセロトニン遊離、（3）交感神経遮断下での迷走神経優位、（4）子宮操作・腹膜牽引による内臓刺激、（5）子宮収縮薬（オキシトシン）投与が報告されている</w:t>
      </w:r>
      <w:r>
        <w:rPr>
          <w:sz w:val="16"/>
          <w:vertAlign w:val="superscript"/>
        </w:rPr>
        <w:t>2,12</w:t>
      </w:r>
      <w:r>
        <w:t>。</w:t>
      </w:r>
    </w:p>
    <w:p>
      <w:r>
        <w:t>双胎妊娠では、これらの機序を増幅しうる生理学的特徴が知られている。双胎では単胎に比べ循環血液量が約400 mL多く増加し、心拍数・一回拍出量・心係数がより大きく上昇する</w:t>
      </w:r>
      <w:r>
        <w:rPr>
          <w:sz w:val="16"/>
          <w:vertAlign w:val="superscript"/>
        </w:rPr>
        <w:t>13</w:t>
      </w:r>
      <w:r>
        <w:t>。さらに、増大した子宮による大動脈・下大静脈圧迫は双胎でより高度かつ頻回であり、脊髄くも膜下麻酔との交互作用により高度の低血圧が生じやすい</w:t>
      </w:r>
      <w:r>
        <w:rPr>
          <w:sz w:val="16"/>
          <w:vertAlign w:val="superscript"/>
        </w:rPr>
        <w:t>9,13</w:t>
      </w:r>
      <w:r>
        <w:t>。これらの知見から、双胎妊娠は理論的にIONVのリスクを高めうると考えられる。</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2014年4月1日から2024年10月23日の間に順天堂大学医学部附属静岡病院で帝王切開術を受けた全症例3,407例（単胎3,043例、双胎364例）を対象とした。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除外基準は、（1）全身麻酔、（2）入室時SBP 90 mmHg未満、（3）子宮内胎児死亡（IUFD）、（4）Vanishing twin、（5）品胎、（6）帝王切開以外の分娩、（7）心肺停止、（8）麻酔データ欠損とした。さらに、麻酔開始前に制吐薬が投与された55例は予防的投与とみなし解析から除外した。</w:t>
      </w:r>
    </w:p>
    <w:p>
      <w:r>
        <w:t>以上の基準により3,164例（単胎2,824例、双胎340例）を主解析の対象とした（Fig. 1）。</w:t>
      </w:r>
    </w:p>
    <w:p>
      <w:pPr>
        <w:spacing w:before="320"/>
        <w:jc w:val="center"/>
      </w:pPr>
      <w:r>
        <w:drawing>
          <wp:inline xmlns:a="http://schemas.openxmlformats.org/drawingml/2006/main" xmlns:pic="http://schemas.openxmlformats.org/drawingml/2006/picture">
            <wp:extent cx="5029200" cy="807066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807066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の制吐薬投与をIONVと定義した。対象薬剤はメトクロプラミド、ドロペリドール、オンダンセトロン、グラニセトロン、ノバミン、アタラックスP、デキサメタゾンの7剤とした。</w:t>
        <w:br/>
        <w:t>副次評価項目：麻酔開始から手術室退室までの制吐薬投与をIONVと定義した。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r>
        <w:rPr>
          <w:b/>
        </w:rPr>
        <w:t>【副次アウトカム：術中低血圧】</w:t>
      </w:r>
    </w:p>
    <w:p>
      <w:r>
        <w:t>副次アウトカムとして、術中低血圧の発生頻度を評価した。低血圧は収縮期血圧 90 mmHg未満と定義し、術中に記録された該当値の回数を用いた。低血圧はIONV解析において共変量としても使用しているため、記述統計による群間比較にとどめた。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データベース上の全帝王切開症例3,479例のうち、研究期間外（2014年4月1日以前）の72例（単胎70例、双胎2例）を除外し、研究期間内の3,407例を適格性評価の対象とした。研究期間中に帝王切開術を受けた3,407例のうち、除外基準に該当した188例（全身麻酔142例、入室時SBP 90 mmHg未満12例、子宮内胎児死亡（IUFD）13例、Vanishing twin3例、品胎5例、帝王切開以外の分娩2例、心肺停止1例、麻酔データ欠損10例）を除外した。さらに術前制吐薬投与55例を除外し、最終解析対象は3,164例（単胎2,824例、双胎340例）であった（Fig. 1）。</w:t>
      </w:r>
    </w:p>
    <w:p>
      <w:r>
        <w:t>双胎340例の内訳は、絨毛膜性別ではDD双胎0例、MD双胎0例、MM双胎0例であった。手術区分別では予定手術0例（0.0%）、緊急手術0例（0.0%）であった。</w:t>
      </w:r>
    </w:p>
    <w:p>
      <w:pPr>
        <w:pStyle w:val="Heading2"/>
      </w:pPr>
      <w:r>
        <w:rPr>
          <w:color w:val="000000"/>
        </w:rPr>
        <w:t>患者背景（STROBE項目15）</w:t>
      </w:r>
    </w:p>
    <w:p>
      <w:r>
        <w:t>解析対象3,164例の患者背景をTable 1に示す。</w:t>
      </w:r>
    </w:p>
    <w:p>
      <w:r>
        <w:rPr>
          <w:b/>
        </w:rPr>
        <w:t>Table 1. 患者背景（単胎 n=2,824 vs 双胎 n=340）</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(n=2,824)</w:t>
            </w:r>
          </w:p>
        </w:tc>
        <w:tc>
          <w:tcPr>
            <w:tcW w:type="dxa" w:w="2160"/>
          </w:tcPr>
          <w:p>
            <w:r>
              <w:rPr>
                <w:b/>
                <w:sz w:val="18"/>
              </w:rPr>
              <w:t>双胎 (n=340)</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[29.0–35.2]</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25.4 [22.8–28.0]</w:t>
            </w:r>
          </w:p>
        </w:tc>
        <w:tc>
          <w:tcPr>
            <w:tcW w:type="dxa" w:w="2160"/>
          </w:tcPr>
          <w:p>
            <w:r>
              <w:rPr>
                <w:sz w:val="18"/>
              </w:rPr>
              <w:t>0.169</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47.5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[51.0–68.0]</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1190.0 [915.0–1672.5]</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0.062</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0.003</w:t>
            </w:r>
          </w:p>
        </w:tc>
      </w:tr>
      <w:tr>
        <w:tc>
          <w:tcPr>
            <w:tcW w:type="dxa" w:w="2160"/>
          </w:tcPr>
          <w:p>
            <w:r>
              <w:rPr>
                <w:sz w:val="18"/>
              </w:rPr>
              <w:t>Emergency CS</w:t>
            </w:r>
          </w:p>
        </w:tc>
        <w:tc>
          <w:tcPr>
            <w:tcW w:type="dxa" w:w="2160"/>
          </w:tcPr>
          <w:p>
            <w:r>
              <w:rPr>
                <w:sz w:val="18"/>
              </w:rPr>
              <w:t>1320/2824 (46.7%)</w:t>
            </w:r>
          </w:p>
        </w:tc>
        <w:tc>
          <w:tcPr>
            <w:tcW w:type="dxa" w:w="2160"/>
          </w:tcPr>
          <w:p>
            <w:r>
              <w:rPr>
                <w:sz w:val="18"/>
              </w:rPr>
              <w:t>121/340 (35.6%)</w:t>
            </w:r>
          </w:p>
        </w:tc>
        <w:tc>
          <w:tcPr>
            <w:tcW w:type="dxa" w:w="2160"/>
          </w:tcPr>
          <w:p>
            <w:r>
              <w:rPr>
                <w:sz w:val="18"/>
              </w:rPr>
              <w:t>&lt; 0.001</w:t>
            </w:r>
          </w:p>
        </w:tc>
      </w:tr>
      <w:tr>
        <w:tc>
          <w:tcPr>
            <w:tcW w:type="dxa" w:w="2160"/>
          </w:tcPr>
          <w:p>
            <w:r>
              <w:rPr>
                <w:sz w:val="18"/>
              </w:rPr>
              <w:t>Prior CS</w:t>
            </w:r>
          </w:p>
        </w:tc>
        <w:tc>
          <w:tcPr>
            <w:tcW w:type="dxa" w:w="2160"/>
          </w:tcPr>
          <w:p>
            <w:r>
              <w:rPr>
                <w:sz w:val="18"/>
              </w:rPr>
              <w:t>1272/2824 (45.0%)</w:t>
            </w:r>
          </w:p>
        </w:tc>
        <w:tc>
          <w:tcPr>
            <w:tcW w:type="dxa" w:w="2160"/>
          </w:tcPr>
          <w:p>
            <w:r>
              <w:rPr>
                <w:sz w:val="18"/>
              </w:rPr>
              <w:t>40/340 (11.8%)</w:t>
            </w:r>
          </w:p>
        </w:tc>
        <w:tc>
          <w:tcPr>
            <w:tcW w:type="dxa" w:w="2160"/>
          </w:tcPr>
          <w:p>
            <w:r>
              <w:rPr>
                <w:sz w:val="18"/>
              </w:rPr>
              <w:t>&lt; 0.001</w:t>
            </w:r>
          </w:p>
        </w:tc>
      </w:tr>
      <w:tr>
        <w:tc>
          <w:tcPr>
            <w:tcW w:type="dxa" w:w="2160"/>
          </w:tcPr>
          <w:p>
            <w:r>
              <w:rPr>
                <w:sz w:val="18"/>
              </w:rPr>
              <w:t>HDP</w:t>
            </w:r>
          </w:p>
        </w:tc>
        <w:tc>
          <w:tcPr>
            <w:tcW w:type="dxa" w:w="2160"/>
          </w:tcPr>
          <w:p>
            <w:r>
              <w:rPr>
                <w:sz w:val="18"/>
              </w:rPr>
              <w:t>279/2824 (9.9%)</w:t>
            </w:r>
          </w:p>
        </w:tc>
        <w:tc>
          <w:tcPr>
            <w:tcW w:type="dxa" w:w="2160"/>
          </w:tcPr>
          <w:p>
            <w:r>
              <w:rPr>
                <w:sz w:val="18"/>
              </w:rPr>
              <w:t>33/340 (9.7%)</w:t>
            </w:r>
          </w:p>
        </w:tc>
        <w:tc>
          <w:tcPr>
            <w:tcW w:type="dxa" w:w="2160"/>
          </w:tcPr>
          <w:p>
            <w:r>
              <w:rPr>
                <w:sz w:val="18"/>
              </w:rPr>
              <w:t>0.919</w:t>
            </w:r>
          </w:p>
        </w:tc>
      </w:tr>
      <w:tr>
        <w:tc>
          <w:tcPr>
            <w:tcW w:type="dxa" w:w="2160"/>
          </w:tcPr>
          <w:p>
            <w:r>
              <w:rPr>
                <w:sz w:val="18"/>
              </w:rPr>
              <w:t>Preoperative steroid</w:t>
            </w:r>
          </w:p>
        </w:tc>
        <w:tc>
          <w:tcPr>
            <w:tcW w:type="dxa" w:w="2160"/>
          </w:tcPr>
          <w:p>
            <w:r>
              <w:rPr>
                <w:sz w:val="18"/>
              </w:rPr>
              <w:t>204/2817 (7.2%)</w:t>
            </w:r>
          </w:p>
        </w:tc>
        <w:tc>
          <w:tcPr>
            <w:tcW w:type="dxa" w:w="2160"/>
          </w:tcPr>
          <w:p>
            <w:r>
              <w:rPr>
                <w:sz w:val="18"/>
              </w:rPr>
              <w:t>25/340 (7.4%)</w:t>
            </w:r>
          </w:p>
        </w:tc>
        <w:tc>
          <w:tcPr>
            <w:tcW w:type="dxa" w:w="2160"/>
          </w:tcPr>
          <w:p>
            <w:r>
              <w:rPr>
                <w:sz w:val="18"/>
              </w:rPr>
              <w:t>0.940</w:t>
            </w:r>
          </w:p>
        </w:tc>
      </w:tr>
      <w:tr>
        <w:tc>
          <w:tcPr>
            <w:tcW w:type="dxa" w:w="2160"/>
          </w:tcPr>
          <w:p>
            <w:r>
              <w:rPr>
                <w:sz w:val="18"/>
              </w:rPr>
              <w:t>Epidural anesthesia</w:t>
            </w:r>
          </w:p>
        </w:tc>
        <w:tc>
          <w:tcPr>
            <w:tcW w:type="dxa" w:w="2160"/>
          </w:tcPr>
          <w:p>
            <w:r>
              <w:rPr>
                <w:sz w:val="18"/>
              </w:rPr>
              <w:t>894/2824 (31.7%)</w:t>
            </w:r>
          </w:p>
        </w:tc>
        <w:tc>
          <w:tcPr>
            <w:tcW w:type="dxa" w:w="2160"/>
          </w:tcPr>
          <w:p>
            <w:r>
              <w:rPr>
                <w:sz w:val="18"/>
              </w:rPr>
              <w:t>103/340 (30.3%)</w:t>
            </w:r>
          </w:p>
        </w:tc>
        <w:tc>
          <w:tcPr>
            <w:tcW w:type="dxa" w:w="2160"/>
          </w:tcPr>
          <w:p>
            <w:r>
              <w:rPr>
                <w:sz w:val="18"/>
              </w:rPr>
              <w:t>0.609</w:t>
            </w:r>
          </w:p>
        </w:tc>
      </w:tr>
      <w:tr>
        <w:tc>
          <w:tcPr>
            <w:tcW w:type="dxa" w:w="2160"/>
          </w:tcPr>
          <w:p>
            <w:r>
              <w:rPr>
                <w:sz w:val="18"/>
              </w:rPr>
              <w:t>Hypotension (SBP &lt; 90)</w:t>
            </w:r>
          </w:p>
        </w:tc>
        <w:tc>
          <w:tcPr>
            <w:tcW w:type="dxa" w:w="2160"/>
          </w:tcPr>
          <w:p>
            <w:r>
              <w:rPr>
                <w:sz w:val="18"/>
              </w:rPr>
              <w:t>1494/2823 (52.9%)</w:t>
            </w:r>
          </w:p>
        </w:tc>
        <w:tc>
          <w:tcPr>
            <w:tcW w:type="dxa" w:w="2160"/>
          </w:tcPr>
          <w:p>
            <w:r>
              <w:rPr>
                <w:sz w:val="18"/>
              </w:rPr>
              <w:t>151/340 (44.4%)</w:t>
            </w:r>
          </w:p>
        </w:tc>
        <w:tc>
          <w:tcPr>
            <w:tcW w:type="dxa" w:w="2160"/>
          </w:tcPr>
          <w:p>
            <w:r>
              <w:rPr>
                <w:sz w:val="18"/>
              </w:rPr>
              <w:t>0.003</w:t>
            </w:r>
          </w:p>
        </w:tc>
      </w:tr>
    </w:tbl>
    <w:p>
      <w:r>
        <w:rPr>
          <w:i/>
          <w:sz w:val="16"/>
        </w:rPr>
        <w:t>連続変数は中央値 [四分位範囲] で表示。カテゴリ変数は n/N (%) で表示。連続変数の群間比較にはMann-Whitney U検定、カテゴリ変数の群間比較にはPearsonのχ²検定を用いた（期待度数5未満のセルがある場合はFisherの正確検定）。</w:t>
      </w:r>
    </w:p>
    <w:p/>
    <w:p>
      <w:pPr>
        <w:pStyle w:val="Heading2"/>
      </w:pPr>
      <w:r>
        <w:rPr>
          <w:color w:val="000000"/>
        </w:rPr>
        <w:t>IONV発生率（STROBE項目16）</w:t>
      </w:r>
    </w:p>
    <w:p>
      <w:r>
        <w:t>制吐薬（広義）による主要評価項目のIONV発生率は、単胎群1.9%（54/2,824例）、双胎群1.5%（5/340例）であった（Table 2, Fig. 2）。</w:t>
      </w:r>
    </w:p>
    <w:p>
      <w:r>
        <w:t>制吐薬（狭義：5-HT3拮抗薬）による主要評価項目では、単胎群0.2%（6/2,824例）に対し、双胎群0.9%（3/340例）と、双胎群で有意に高率であった（Table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0.81</w:t>
            </w:r>
          </w:p>
        </w:tc>
        <w:tc>
          <w:tcPr>
            <w:tcW w:type="dxa" w:w="1234"/>
          </w:tcPr>
          <w:p>
            <w:r>
              <w:rPr>
                <w:sz w:val="16"/>
              </w:rPr>
              <w:t>0.31–2.14</w:t>
            </w:r>
          </w:p>
        </w:tc>
        <w:tc>
          <w:tcPr>
            <w:tcW w:type="dxa" w:w="1234"/>
          </w:tcPr>
          <w:p>
            <w:r>
              <w:rPr>
                <w:sz w:val="16"/>
              </w:rPr>
              <w:t>0.676</w:t>
            </w:r>
          </w:p>
        </w:tc>
      </w:tr>
      <w:tr>
        <w:tc>
          <w:tcPr>
            <w:tcW w:type="dxa" w:w="1234"/>
          </w:tcPr>
          <w:p>
            <w:r>
              <w:rPr>
                <w:sz w:val="16"/>
              </w:rPr>
              <w:t>広義 副次</w:t>
            </w:r>
          </w:p>
        </w:tc>
        <w:tc>
          <w:tcPr>
            <w:tcW w:type="dxa" w:w="1234"/>
          </w:tcPr>
          <w:p>
            <w:r>
              <w:rPr>
                <w:sz w:val="16"/>
              </w:rPr>
              <w:t>501 (17.7%)</w:t>
            </w:r>
          </w:p>
        </w:tc>
        <w:tc>
          <w:tcPr>
            <w:tcW w:type="dxa" w:w="1234"/>
          </w:tcPr>
          <w:p>
            <w:r>
              <w:rPr>
                <w:sz w:val="16"/>
              </w:rPr>
              <w:t>58 (17.1%)</w:t>
            </w:r>
          </w:p>
        </w:tc>
        <w:tc>
          <w:tcPr>
            <w:tcW w:type="dxa" w:w="1234"/>
          </w:tcPr>
          <w:p>
            <w:r>
              <w:rPr>
                <w:sz w:val="16"/>
              </w:rPr>
              <w:t>full</w:t>
            </w:r>
          </w:p>
        </w:tc>
        <w:tc>
          <w:tcPr>
            <w:tcW w:type="dxa" w:w="1234"/>
          </w:tcPr>
          <w:p>
            <w:r>
              <w:rPr>
                <w:sz w:val="16"/>
              </w:rPr>
              <w:t>0.92</w:t>
            </w:r>
          </w:p>
        </w:tc>
        <w:tc>
          <w:tcPr>
            <w:tcW w:type="dxa" w:w="1234"/>
          </w:tcPr>
          <w:p>
            <w:r>
              <w:rPr>
                <w:sz w:val="16"/>
              </w:rPr>
              <w:t>0.67–1.26</w:t>
            </w:r>
          </w:p>
        </w:tc>
        <w:tc>
          <w:tcPr>
            <w:tcW w:type="dxa" w:w="1234"/>
          </w:tcPr>
          <w:p>
            <w:r>
              <w:rPr>
                <w:sz w:val="16"/>
              </w:rPr>
              <w:t>0.616</w:t>
            </w:r>
          </w:p>
        </w:tc>
      </w:tr>
      <w:tr>
        <w:tc>
          <w:tcPr>
            <w:tcW w:type="dxa" w:w="1234"/>
          </w:tcPr>
          <w:p>
            <w:r>
              <w:rPr>
                <w:sz w:val="16"/>
              </w:rPr>
              <w:t>狭義 主要</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3.47</w:t>
            </w:r>
          </w:p>
        </w:tc>
        <w:tc>
          <w:tcPr>
            <w:tcW w:type="dxa" w:w="1234"/>
          </w:tcPr>
          <w:p>
            <w:r>
              <w:rPr>
                <w:sz w:val="16"/>
              </w:rPr>
              <w:t>0.80–14.98</w:t>
            </w:r>
          </w:p>
        </w:tc>
        <w:tc>
          <w:tcPr>
            <w:tcW w:type="dxa" w:w="1234"/>
          </w:tcPr>
          <w:p>
            <w:r>
              <w:rPr>
                <w:sz w:val="16"/>
              </w:rPr>
              <w:t>0.096</w:t>
            </w:r>
          </w:p>
        </w:tc>
      </w:tr>
      <w:tr>
        <w:tc>
          <w:tcPr>
            <w:tcW w:type="dxa" w:w="1234"/>
          </w:tcPr>
          <w:p>
            <w:r>
              <w:rPr>
                <w:sz w:val="16"/>
              </w:rPr>
              <w:t>狭義 副次</w:t>
            </w:r>
          </w:p>
        </w:tc>
        <w:tc>
          <w:tcPr>
            <w:tcW w:type="dxa" w:w="1234"/>
          </w:tcPr>
          <w:p>
            <w:r>
              <w:rPr>
                <w:sz w:val="16"/>
              </w:rPr>
              <w:t>25 (0.9%)</w:t>
            </w:r>
          </w:p>
        </w:tc>
        <w:tc>
          <w:tcPr>
            <w:tcW w:type="dxa" w:w="1234"/>
          </w:tcPr>
          <w:p>
            <w:r>
              <w:rPr>
                <w:sz w:val="16"/>
              </w:rPr>
              <w:t>8 (2.4%)</w:t>
            </w:r>
          </w:p>
        </w:tc>
        <w:tc>
          <w:tcPr>
            <w:tcW w:type="dxa" w:w="1234"/>
          </w:tcPr>
          <w:p>
            <w:r>
              <w:rPr>
                <w:sz w:val="16"/>
              </w:rPr>
              <w:t>reduced</w:t>
            </w:r>
          </w:p>
        </w:tc>
        <w:tc>
          <w:tcPr>
            <w:tcW w:type="dxa" w:w="1234"/>
          </w:tcPr>
          <w:p>
            <w:r>
              <w:rPr>
                <w:sz w:val="16"/>
              </w:rPr>
              <w:t>3.16</w:t>
            </w:r>
          </w:p>
        </w:tc>
        <w:tc>
          <w:tcPr>
            <w:tcW w:type="dxa" w:w="1234"/>
          </w:tcPr>
          <w:p>
            <w:r>
              <w:rPr>
                <w:sz w:val="16"/>
              </w:rPr>
              <w:t>1.37–7.32</w:t>
            </w:r>
          </w:p>
        </w:tc>
        <w:tc>
          <w:tcPr>
            <w:tcW w:type="dxa" w:w="1234"/>
          </w:tcPr>
          <w:p>
            <w:r>
              <w:rPr>
                <w:sz w:val="16"/>
              </w:rPr>
              <w:t>0.007</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0.81, 95%CI 0.31–2.14, P = 0.676）。</w:t>
      </w:r>
    </w:p>
    <w:p>
      <w:r>
        <w:t>制吐薬（狭義）の主要評価項目では、イベント数が9件と少数であったため縮小モデルを使用した。双胎は5-HT3拮抗薬使用と有意に関連していた（aOR 3.47, 95%CI 0.80–14.98, P = 0.096）（Fig. 3）。</w:t>
      </w:r>
    </w:p>
    <w:p>
      <w:pPr>
        <w:spacing w:before="320"/>
        <w:jc w:val="center"/>
      </w:pPr>
      <w:r>
        <w:drawing>
          <wp:inline xmlns:a="http://schemas.openxmlformats.org/drawingml/2006/main" xmlns:pic="http://schemas.openxmlformats.org/drawingml/2006/picture">
            <wp:extent cx="5486400" cy="3268926"/>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8926"/>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副次アウトカム：術中低血圧（STROBE項目17）</w:t>
      </w:r>
    </w:p>
    <w:p>
      <w:r>
        <w:t>術中低血圧（収縮期血圧 &lt;90 mmHg）の発生頻度は、単胎群1,494/2,824例（52.9%）、双胎群151/340例（44.4%）であり、双胎群で有意に低率であった（P = 0.003）。低血圧エピソード回数（中央値[四分位範囲]）は単胎群1 [0–2]回、双胎群0 [0–2]回であった（P = 0.003）。</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5）。全19モデルにおいて、双胎のaORは3.12–5.95の範囲であり、10/19モデルで統計学的に有意であった（P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4.18</w:t>
            </w:r>
          </w:p>
        </w:tc>
        <w:tc>
          <w:tcPr>
            <w:tcW w:type="dxa" w:w="2160"/>
          </w:tcPr>
          <w:p>
            <w:r>
              <w:rPr>
                <w:sz w:val="18"/>
              </w:rPr>
              <w:t>1.04–16.79</w:t>
            </w:r>
          </w:p>
        </w:tc>
        <w:tc>
          <w:tcPr>
            <w:tcW w:type="dxa" w:w="2160"/>
          </w:tcPr>
          <w:p>
            <w:r>
              <w:rPr>
                <w:sz w:val="18"/>
              </w:rPr>
              <w:t>0.044</w:t>
            </w:r>
          </w:p>
        </w:tc>
      </w:tr>
      <w:tr>
        <w:tc>
          <w:tcPr>
            <w:tcW w:type="dxa" w:w="2160"/>
          </w:tcPr>
          <w:p>
            <w:r>
              <w:rPr>
                <w:sz w:val="18"/>
              </w:rPr>
              <w:t>Twin + Age (per year)</w:t>
            </w:r>
          </w:p>
        </w:tc>
        <w:tc>
          <w:tcPr>
            <w:tcW w:type="dxa" w:w="2160"/>
          </w:tcPr>
          <w:p>
            <w:r>
              <w:rPr>
                <w:sz w:val="18"/>
              </w:rPr>
              <w:t>4.14</w:t>
            </w:r>
          </w:p>
        </w:tc>
        <w:tc>
          <w:tcPr>
            <w:tcW w:type="dxa" w:w="2160"/>
          </w:tcPr>
          <w:p>
            <w:r>
              <w:rPr>
                <w:sz w:val="18"/>
              </w:rPr>
              <w:t>1.02–16.83</w:t>
            </w:r>
          </w:p>
        </w:tc>
        <w:tc>
          <w:tcPr>
            <w:tcW w:type="dxa" w:w="2160"/>
          </w:tcPr>
          <w:p>
            <w:r>
              <w:rPr>
                <w:sz w:val="18"/>
              </w:rPr>
              <w:t>0.047</w:t>
            </w:r>
          </w:p>
        </w:tc>
      </w:tr>
      <w:tr>
        <w:tc>
          <w:tcPr>
            <w:tcW w:type="dxa" w:w="2160"/>
          </w:tcPr>
          <w:p>
            <w:r>
              <w:rPr>
                <w:sz w:val="18"/>
              </w:rPr>
              <w:t>Twin + BMI (per kg/m²)</w:t>
            </w:r>
          </w:p>
        </w:tc>
        <w:tc>
          <w:tcPr>
            <w:tcW w:type="dxa" w:w="2160"/>
          </w:tcPr>
          <w:p>
            <w:r>
              <w:rPr>
                <w:sz w:val="18"/>
              </w:rPr>
              <w:t>4.17</w:t>
            </w:r>
          </w:p>
        </w:tc>
        <w:tc>
          <w:tcPr>
            <w:tcW w:type="dxa" w:w="2160"/>
          </w:tcPr>
          <w:p>
            <w:r>
              <w:rPr>
                <w:sz w:val="18"/>
              </w:rPr>
              <w:t>1.04–16.77</w:t>
            </w:r>
          </w:p>
        </w:tc>
        <w:tc>
          <w:tcPr>
            <w:tcW w:type="dxa" w:w="2160"/>
          </w:tcPr>
          <w:p>
            <w:r>
              <w:rPr>
                <w:sz w:val="18"/>
              </w:rPr>
              <w:t>0.044</w:t>
            </w:r>
          </w:p>
        </w:tc>
      </w:tr>
      <w:tr>
        <w:tc>
          <w:tcPr>
            <w:tcW w:type="dxa" w:w="2160"/>
          </w:tcPr>
          <w:p>
            <w:r>
              <w:rPr>
                <w:sz w:val="18"/>
              </w:rPr>
              <w:t>Twin + GA (per week)</w:t>
            </w:r>
          </w:p>
        </w:tc>
        <w:tc>
          <w:tcPr>
            <w:tcW w:type="dxa" w:w="2160"/>
          </w:tcPr>
          <w:p>
            <w:r>
              <w:rPr>
                <w:sz w:val="18"/>
              </w:rPr>
              <w:t>4.59</w:t>
            </w:r>
          </w:p>
        </w:tc>
        <w:tc>
          <w:tcPr>
            <w:tcW w:type="dxa" w:w="2160"/>
          </w:tcPr>
          <w:p>
            <w:r>
              <w:rPr>
                <w:sz w:val="18"/>
              </w:rPr>
              <w:t>1.08–19.41</w:t>
            </w:r>
          </w:p>
        </w:tc>
        <w:tc>
          <w:tcPr>
            <w:tcW w:type="dxa" w:w="2160"/>
          </w:tcPr>
          <w:p>
            <w:r>
              <w:rPr>
                <w:sz w:val="18"/>
              </w:rPr>
              <w:t>0.038</w:t>
            </w:r>
          </w:p>
        </w:tc>
      </w:tr>
      <w:tr>
        <w:tc>
          <w:tcPr>
            <w:tcW w:type="dxa" w:w="2160"/>
          </w:tcPr>
          <w:p>
            <w:r>
              <w:rPr>
                <w:sz w:val="18"/>
              </w:rPr>
              <w:t>Twin + Emergency CS</w:t>
            </w:r>
          </w:p>
        </w:tc>
        <w:tc>
          <w:tcPr>
            <w:tcW w:type="dxa" w:w="2160"/>
          </w:tcPr>
          <w:p>
            <w:r>
              <w:rPr>
                <w:sz w:val="18"/>
              </w:rPr>
              <w:t>3.63</w:t>
            </w:r>
          </w:p>
        </w:tc>
        <w:tc>
          <w:tcPr>
            <w:tcW w:type="dxa" w:w="2160"/>
          </w:tcPr>
          <w:p>
            <w:r>
              <w:rPr>
                <w:sz w:val="18"/>
              </w:rPr>
              <w:t>0.90–14.65</w:t>
            </w:r>
          </w:p>
        </w:tc>
        <w:tc>
          <w:tcPr>
            <w:tcW w:type="dxa" w:w="2160"/>
          </w:tcPr>
          <w:p>
            <w:r>
              <w:rPr>
                <w:sz w:val="18"/>
              </w:rPr>
              <w:t>0.070</w:t>
            </w:r>
          </w:p>
        </w:tc>
      </w:tr>
      <w:tr>
        <w:tc>
          <w:tcPr>
            <w:tcW w:type="dxa" w:w="2160"/>
          </w:tcPr>
          <w:p>
            <w:r>
              <w:rPr>
                <w:sz w:val="18"/>
              </w:rPr>
              <w:t>Twin + Prior CS</w:t>
            </w:r>
          </w:p>
        </w:tc>
        <w:tc>
          <w:tcPr>
            <w:tcW w:type="dxa" w:w="2160"/>
          </w:tcPr>
          <w:p>
            <w:r>
              <w:rPr>
                <w:sz w:val="18"/>
              </w:rPr>
              <w:t>5.04</w:t>
            </w:r>
          </w:p>
        </w:tc>
        <w:tc>
          <w:tcPr>
            <w:tcW w:type="dxa" w:w="2160"/>
          </w:tcPr>
          <w:p>
            <w:r>
              <w:rPr>
                <w:sz w:val="18"/>
              </w:rPr>
              <w:t>1.12–22.58</w:t>
            </w:r>
          </w:p>
        </w:tc>
        <w:tc>
          <w:tcPr>
            <w:tcW w:type="dxa" w:w="2160"/>
          </w:tcPr>
          <w:p>
            <w:r>
              <w:rPr>
                <w:sz w:val="18"/>
              </w:rPr>
              <w:t>0.035</w:t>
            </w:r>
          </w:p>
        </w:tc>
      </w:tr>
      <w:tr>
        <w:tc>
          <w:tcPr>
            <w:tcW w:type="dxa" w:w="2160"/>
          </w:tcPr>
          <w:p>
            <w:r>
              <w:rPr>
                <w:sz w:val="18"/>
              </w:rPr>
              <w:t>Twin + HDP</w:t>
            </w:r>
          </w:p>
        </w:tc>
        <w:tc>
          <w:tcPr>
            <w:tcW w:type="dxa" w:w="2160"/>
          </w:tcPr>
          <w:p>
            <w:r>
              <w:rPr>
                <w:sz w:val="18"/>
              </w:rPr>
              <w:t>4.18</w:t>
            </w:r>
          </w:p>
        </w:tc>
        <w:tc>
          <w:tcPr>
            <w:tcW w:type="dxa" w:w="2160"/>
          </w:tcPr>
          <w:p>
            <w:r>
              <w:rPr>
                <w:sz w:val="18"/>
              </w:rPr>
              <w:t>1.04–16.80</w:t>
            </w:r>
          </w:p>
        </w:tc>
        <w:tc>
          <w:tcPr>
            <w:tcW w:type="dxa" w:w="2160"/>
          </w:tcPr>
          <w:p>
            <w:r>
              <w:rPr>
                <w:sz w:val="18"/>
              </w:rPr>
              <w:t>0.044</w:t>
            </w:r>
          </w:p>
        </w:tc>
      </w:tr>
      <w:tr>
        <w:tc>
          <w:tcPr>
            <w:tcW w:type="dxa" w:w="2160"/>
          </w:tcPr>
          <w:p>
            <w:r>
              <w:rPr>
                <w:sz w:val="18"/>
              </w:rPr>
              <w:t>Twin + Epidural anesthesia</w:t>
            </w:r>
          </w:p>
        </w:tc>
        <w:tc>
          <w:tcPr>
            <w:tcW w:type="dxa" w:w="2160"/>
          </w:tcPr>
          <w:p>
            <w:r>
              <w:rPr>
                <w:sz w:val="18"/>
              </w:rPr>
              <w:t>4.11</w:t>
            </w:r>
          </w:p>
        </w:tc>
        <w:tc>
          <w:tcPr>
            <w:tcW w:type="dxa" w:w="2160"/>
          </w:tcPr>
          <w:p>
            <w:r>
              <w:rPr>
                <w:sz w:val="18"/>
              </w:rPr>
              <w:t>1.02–16.55</w:t>
            </w:r>
          </w:p>
        </w:tc>
        <w:tc>
          <w:tcPr>
            <w:tcW w:type="dxa" w:w="2160"/>
          </w:tcPr>
          <w:p>
            <w:r>
              <w:rPr>
                <w:sz w:val="18"/>
              </w:rPr>
              <w:t>0.047</w:t>
            </w:r>
          </w:p>
        </w:tc>
      </w:tr>
      <w:tr>
        <w:tc>
          <w:tcPr>
            <w:tcW w:type="dxa" w:w="2160"/>
          </w:tcPr>
          <w:p>
            <w:r>
              <w:rPr>
                <w:sz w:val="18"/>
              </w:rPr>
              <w:t>Twin + Surgery time (per min)</w:t>
            </w:r>
          </w:p>
        </w:tc>
        <w:tc>
          <w:tcPr>
            <w:tcW w:type="dxa" w:w="2160"/>
          </w:tcPr>
          <w:p>
            <w:r>
              <w:rPr>
                <w:sz w:val="18"/>
              </w:rPr>
              <w:t>5.24</w:t>
            </w:r>
          </w:p>
        </w:tc>
        <w:tc>
          <w:tcPr>
            <w:tcW w:type="dxa" w:w="2160"/>
          </w:tcPr>
          <w:p>
            <w:r>
              <w:rPr>
                <w:sz w:val="18"/>
              </w:rPr>
              <w:t>1.25–21.94</w:t>
            </w:r>
          </w:p>
        </w:tc>
        <w:tc>
          <w:tcPr>
            <w:tcW w:type="dxa" w:w="2160"/>
          </w:tcPr>
          <w:p>
            <w:r>
              <w:rPr>
                <w:sz w:val="18"/>
              </w:rPr>
              <w:t>0.023</w:t>
            </w:r>
          </w:p>
        </w:tc>
      </w:tr>
      <w:tr>
        <w:tc>
          <w:tcPr>
            <w:tcW w:type="dxa" w:w="2160"/>
          </w:tcPr>
          <w:p>
            <w:r>
              <w:rPr>
                <w:sz w:val="18"/>
              </w:rPr>
              <w:t>Twin + Hypotension (SBP &lt; 90)</w:t>
            </w:r>
          </w:p>
        </w:tc>
        <w:tc>
          <w:tcPr>
            <w:tcW w:type="dxa" w:w="2160"/>
          </w:tcPr>
          <w:p>
            <w:r>
              <w:rPr>
                <w:sz w:val="18"/>
              </w:rPr>
              <w:t>4.26</w:t>
            </w:r>
          </w:p>
        </w:tc>
        <w:tc>
          <w:tcPr>
            <w:tcW w:type="dxa" w:w="2160"/>
          </w:tcPr>
          <w:p>
            <w:r>
              <w:rPr>
                <w:sz w:val="18"/>
              </w:rPr>
              <w:t>1.06–17.19</w:t>
            </w:r>
          </w:p>
        </w:tc>
        <w:tc>
          <w:tcPr>
            <w:tcW w:type="dxa" w:w="2160"/>
          </w:tcPr>
          <w:p>
            <w:r>
              <w:rPr>
                <w:sz w:val="18"/>
              </w:rPr>
              <w:t>0.042</w:t>
            </w:r>
          </w:p>
        </w:tc>
      </w:tr>
      <w:tr>
        <w:tc>
          <w:tcPr>
            <w:tcW w:type="dxa" w:w="2160"/>
          </w:tcPr>
          <w:p>
            <w:r>
              <w:rPr>
                <w:sz w:val="18"/>
              </w:rPr>
              <w:t>Full minus Age (per year)</w:t>
            </w:r>
          </w:p>
        </w:tc>
        <w:tc>
          <w:tcPr>
            <w:tcW w:type="dxa" w:w="2160"/>
          </w:tcPr>
          <w:p>
            <w:r>
              <w:rPr>
                <w:sz w:val="18"/>
              </w:rPr>
              <w:t>3.50</w:t>
            </w:r>
          </w:p>
        </w:tc>
        <w:tc>
          <w:tcPr>
            <w:tcW w:type="dxa" w:w="2160"/>
          </w:tcPr>
          <w:p>
            <w:r>
              <w:rPr>
                <w:sz w:val="18"/>
              </w:rPr>
              <w:t>0.64–19.09</w:t>
            </w:r>
          </w:p>
        </w:tc>
        <w:tc>
          <w:tcPr>
            <w:tcW w:type="dxa" w:w="2160"/>
          </w:tcPr>
          <w:p>
            <w:r>
              <w:rPr>
                <w:sz w:val="18"/>
              </w:rPr>
              <w:t>0.147</w:t>
            </w:r>
          </w:p>
        </w:tc>
      </w:tr>
      <w:tr>
        <w:tc>
          <w:tcPr>
            <w:tcW w:type="dxa" w:w="2160"/>
          </w:tcPr>
          <w:p>
            <w:r>
              <w:rPr>
                <w:sz w:val="18"/>
              </w:rPr>
              <w:t>Full minus GA (per week)</w:t>
            </w:r>
          </w:p>
        </w:tc>
        <w:tc>
          <w:tcPr>
            <w:tcW w:type="dxa" w:w="2160"/>
          </w:tcPr>
          <w:p>
            <w:r>
              <w:rPr>
                <w:sz w:val="18"/>
              </w:rPr>
              <w:t>3.58</w:t>
            </w:r>
          </w:p>
        </w:tc>
        <w:tc>
          <w:tcPr>
            <w:tcW w:type="dxa" w:w="2160"/>
          </w:tcPr>
          <w:p>
            <w:r>
              <w:rPr>
                <w:sz w:val="18"/>
              </w:rPr>
              <w:t>0.66–19.35</w:t>
            </w:r>
          </w:p>
        </w:tc>
        <w:tc>
          <w:tcPr>
            <w:tcW w:type="dxa" w:w="2160"/>
          </w:tcPr>
          <w:p>
            <w:r>
              <w:rPr>
                <w:sz w:val="18"/>
              </w:rPr>
              <w:t>0.138</w:t>
            </w:r>
          </w:p>
        </w:tc>
      </w:tr>
      <w:tr>
        <w:tc>
          <w:tcPr>
            <w:tcW w:type="dxa" w:w="2160"/>
          </w:tcPr>
          <w:p>
            <w:r>
              <w:rPr>
                <w:sz w:val="18"/>
              </w:rPr>
              <w:t>Full minus Emergency CS</w:t>
            </w:r>
          </w:p>
        </w:tc>
        <w:tc>
          <w:tcPr>
            <w:tcW w:type="dxa" w:w="2160"/>
          </w:tcPr>
          <w:p>
            <w:r>
              <w:rPr>
                <w:sz w:val="18"/>
              </w:rPr>
              <w:t>5.95</w:t>
            </w:r>
          </w:p>
        </w:tc>
        <w:tc>
          <w:tcPr>
            <w:tcW w:type="dxa" w:w="2160"/>
          </w:tcPr>
          <w:p>
            <w:r>
              <w:rPr>
                <w:sz w:val="18"/>
              </w:rPr>
              <w:t>1.19–29.62</w:t>
            </w:r>
          </w:p>
        </w:tc>
        <w:tc>
          <w:tcPr>
            <w:tcW w:type="dxa" w:w="2160"/>
          </w:tcPr>
          <w:p>
            <w:r>
              <w:rPr>
                <w:sz w:val="18"/>
              </w:rPr>
              <w:t>0.030</w:t>
            </w:r>
          </w:p>
        </w:tc>
      </w:tr>
      <w:tr>
        <w:tc>
          <w:tcPr>
            <w:tcW w:type="dxa" w:w="2160"/>
          </w:tcPr>
          <w:p>
            <w:r>
              <w:rPr>
                <w:sz w:val="18"/>
              </w:rPr>
              <w:t>Full minus Prior CS</w:t>
            </w:r>
          </w:p>
        </w:tc>
        <w:tc>
          <w:tcPr>
            <w:tcW w:type="dxa" w:w="2160"/>
          </w:tcPr>
          <w:p>
            <w:r>
              <w:rPr>
                <w:sz w:val="18"/>
              </w:rPr>
              <w:t>3.66</w:t>
            </w:r>
          </w:p>
        </w:tc>
        <w:tc>
          <w:tcPr>
            <w:tcW w:type="dxa" w:w="2160"/>
          </w:tcPr>
          <w:p>
            <w:r>
              <w:rPr>
                <w:sz w:val="18"/>
              </w:rPr>
              <w:t>0.81–16.53</w:t>
            </w:r>
          </w:p>
        </w:tc>
        <w:tc>
          <w:tcPr>
            <w:tcW w:type="dxa" w:w="2160"/>
          </w:tcPr>
          <w:p>
            <w:r>
              <w:rPr>
                <w:sz w:val="18"/>
              </w:rPr>
              <w:t>0.092</w:t>
            </w:r>
          </w:p>
        </w:tc>
      </w:tr>
      <w:tr>
        <w:tc>
          <w:tcPr>
            <w:tcW w:type="dxa" w:w="2160"/>
          </w:tcPr>
          <w:p>
            <w:r>
              <w:rPr>
                <w:sz w:val="18"/>
              </w:rPr>
              <w:t>Full minus HDP</w:t>
            </w:r>
          </w:p>
        </w:tc>
        <w:tc>
          <w:tcPr>
            <w:tcW w:type="dxa" w:w="2160"/>
          </w:tcPr>
          <w:p>
            <w:r>
              <w:rPr>
                <w:sz w:val="18"/>
              </w:rPr>
              <w:t>3.35</w:t>
            </w:r>
          </w:p>
        </w:tc>
        <w:tc>
          <w:tcPr>
            <w:tcW w:type="dxa" w:w="2160"/>
          </w:tcPr>
          <w:p>
            <w:r>
              <w:rPr>
                <w:sz w:val="18"/>
              </w:rPr>
              <w:t>0.62–18.24</w:t>
            </w:r>
          </w:p>
        </w:tc>
        <w:tc>
          <w:tcPr>
            <w:tcW w:type="dxa" w:w="2160"/>
          </w:tcPr>
          <w:p>
            <w:r>
              <w:rPr>
                <w:sz w:val="18"/>
              </w:rPr>
              <w:t>0.162</w:t>
            </w:r>
          </w:p>
        </w:tc>
      </w:tr>
      <w:tr>
        <w:tc>
          <w:tcPr>
            <w:tcW w:type="dxa" w:w="2160"/>
          </w:tcPr>
          <w:p>
            <w:r>
              <w:rPr>
                <w:sz w:val="18"/>
              </w:rPr>
              <w:t>Full minus Epidural anesthesia</w:t>
            </w:r>
          </w:p>
        </w:tc>
        <w:tc>
          <w:tcPr>
            <w:tcW w:type="dxa" w:w="2160"/>
          </w:tcPr>
          <w:p>
            <w:r>
              <w:rPr>
                <w:sz w:val="18"/>
              </w:rPr>
              <w:t>3.89</w:t>
            </w:r>
          </w:p>
        </w:tc>
        <w:tc>
          <w:tcPr>
            <w:tcW w:type="dxa" w:w="2160"/>
          </w:tcPr>
          <w:p>
            <w:r>
              <w:rPr>
                <w:sz w:val="18"/>
              </w:rPr>
              <w:t>0.73–20.74</w:t>
            </w:r>
          </w:p>
        </w:tc>
        <w:tc>
          <w:tcPr>
            <w:tcW w:type="dxa" w:w="2160"/>
          </w:tcPr>
          <w:p>
            <w:r>
              <w:rPr>
                <w:sz w:val="18"/>
              </w:rPr>
              <w:t>0.111</w:t>
            </w:r>
          </w:p>
        </w:tc>
      </w:tr>
      <w:tr>
        <w:tc>
          <w:tcPr>
            <w:tcW w:type="dxa" w:w="2160"/>
          </w:tcPr>
          <w:p>
            <w:r>
              <w:rPr>
                <w:sz w:val="18"/>
              </w:rPr>
              <w:t>Full minus Surgery time (per min)</w:t>
            </w:r>
          </w:p>
        </w:tc>
        <w:tc>
          <w:tcPr>
            <w:tcW w:type="dxa" w:w="2160"/>
          </w:tcPr>
          <w:p>
            <w:r>
              <w:rPr>
                <w:sz w:val="18"/>
              </w:rPr>
              <w:t>3.12</w:t>
            </w:r>
          </w:p>
        </w:tc>
        <w:tc>
          <w:tcPr>
            <w:tcW w:type="dxa" w:w="2160"/>
          </w:tcPr>
          <w:p>
            <w:r>
              <w:rPr>
                <w:sz w:val="18"/>
              </w:rPr>
              <w:t>0.56–17.34</w:t>
            </w:r>
          </w:p>
        </w:tc>
        <w:tc>
          <w:tcPr>
            <w:tcW w:type="dxa" w:w="2160"/>
          </w:tcPr>
          <w:p>
            <w:r>
              <w:rPr>
                <w:sz w:val="18"/>
              </w:rPr>
              <w:t>0.194</w:t>
            </w:r>
          </w:p>
        </w:tc>
      </w:tr>
      <w:tr>
        <w:tc>
          <w:tcPr>
            <w:tcW w:type="dxa" w:w="2160"/>
          </w:tcPr>
          <w:p>
            <w:r>
              <w:rPr>
                <w:sz w:val="18"/>
              </w:rPr>
              <w:t>Full minus Hypotension (SBP &lt; 90)</w:t>
            </w:r>
          </w:p>
        </w:tc>
        <w:tc>
          <w:tcPr>
            <w:tcW w:type="dxa" w:w="2160"/>
          </w:tcPr>
          <w:p>
            <w:r>
              <w:rPr>
                <w:sz w:val="18"/>
              </w:rPr>
              <w:t>3.25</w:t>
            </w:r>
          </w:p>
        </w:tc>
        <w:tc>
          <w:tcPr>
            <w:tcW w:type="dxa" w:w="2160"/>
          </w:tcPr>
          <w:p>
            <w:r>
              <w:rPr>
                <w:sz w:val="18"/>
              </w:rPr>
              <w:t>0.60–17.76</w:t>
            </w:r>
          </w:p>
        </w:tc>
        <w:tc>
          <w:tcPr>
            <w:tcW w:type="dxa" w:w="2160"/>
          </w:tcPr>
          <w:p>
            <w:r>
              <w:rPr>
                <w:sz w:val="18"/>
              </w:rPr>
              <w:t>0.173</w:t>
            </w:r>
          </w:p>
        </w:tc>
      </w:tr>
      <w:tr>
        <w:tc>
          <w:tcPr>
            <w:tcW w:type="dxa" w:w="2160"/>
          </w:tcPr>
          <w:p>
            <w:r>
              <w:rPr>
                <w:sz w:val="18"/>
              </w:rPr>
              <w:t>Reduced (6 covariates)</w:t>
            </w:r>
          </w:p>
        </w:tc>
        <w:tc>
          <w:tcPr>
            <w:tcW w:type="dxa" w:w="2160"/>
          </w:tcPr>
          <w:p>
            <w:r>
              <w:rPr>
                <w:sz w:val="18"/>
              </w:rPr>
              <w:t>3.47</w:t>
            </w:r>
          </w:p>
        </w:tc>
        <w:tc>
          <w:tcPr>
            <w:tcW w:type="dxa" w:w="2160"/>
          </w:tcPr>
          <w:p>
            <w:r>
              <w:rPr>
                <w:sz w:val="18"/>
              </w:rPr>
              <w:t>0.80–14.98</w:t>
            </w:r>
          </w:p>
        </w:tc>
        <w:tc>
          <w:tcPr>
            <w:tcW w:type="dxa" w:w="2160"/>
          </w:tcPr>
          <w:p>
            <w:r>
              <w:rPr>
                <w:sz w:val="18"/>
              </w:rPr>
              <w:t>0.096</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緊急帝王切開（1,441例）、帝王切開既往（1,312例）、HDP（312例）、術前ステロイド（229例）を除外した予定手術・低リスクサブグループ658例（単胎476例、双胎182例）で再解析した（重複あり、Fig. 1）。</w:t>
      </w:r>
    </w:p>
    <w:p>
      <w:r>
        <w:t>制吐薬（広義）ではIONV発生率に有意差を認めなかった（単胎2.9% vs 双胎2.2%, aOR 0.70, P = 0.550）。一方、制吐薬（狭義）では単胎0.2%に対し双胎1.6%と依然として有意に高率であった（aOR 14.23, 95%CI 0.71–285.03, P = 0.082）（Table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0.550</w:t>
            </w:r>
          </w:p>
        </w:tc>
      </w:tr>
      <w:tr>
        <w:tc>
          <w:tcPr>
            <w:tcW w:type="dxa" w:w="1234"/>
          </w:tcPr>
          <w:p>
            <w:r>
              <w:rPr>
                <w:sz w:val="16"/>
              </w:rPr>
              <w:t>広義 副次</w:t>
            </w:r>
          </w:p>
        </w:tc>
        <w:tc>
          <w:tcPr>
            <w:tcW w:type="dxa" w:w="1234"/>
          </w:tcPr>
          <w:p>
            <w:r>
              <w:rPr>
                <w:sz w:val="16"/>
              </w:rPr>
              <w:t>105 (22.1%)</w:t>
            </w:r>
          </w:p>
        </w:tc>
        <w:tc>
          <w:tcPr>
            <w:tcW w:type="dxa" w:w="1234"/>
          </w:tcPr>
          <w:p>
            <w:r>
              <w:rPr>
                <w:sz w:val="16"/>
              </w:rPr>
              <w:t>27 (14.8%)</w:t>
            </w:r>
          </w:p>
        </w:tc>
        <w:tc>
          <w:tcPr>
            <w:tcW w:type="dxa" w:w="1234"/>
          </w:tcPr>
          <w:p>
            <w:r>
              <w:rPr>
                <w:sz w:val="16"/>
              </w:rPr>
              <w:t>full</w:t>
            </w:r>
          </w:p>
        </w:tc>
        <w:tc>
          <w:tcPr>
            <w:tcW w:type="dxa" w:w="1234"/>
          </w:tcPr>
          <w:p>
            <w:r>
              <w:rPr>
                <w:sz w:val="16"/>
              </w:rPr>
              <w:t>0.65</w:t>
            </w:r>
          </w:p>
        </w:tc>
        <w:tc>
          <w:tcPr>
            <w:tcW w:type="dxa" w:w="1234"/>
          </w:tcPr>
          <w:p>
            <w:r>
              <w:rPr>
                <w:sz w:val="16"/>
              </w:rPr>
              <w:t>0.40–1.07</w:t>
            </w:r>
          </w:p>
        </w:tc>
        <w:tc>
          <w:tcPr>
            <w:tcW w:type="dxa" w:w="1234"/>
          </w:tcPr>
          <w:p>
            <w:r>
              <w:rPr>
                <w:sz w:val="16"/>
              </w:rPr>
              <w:t>0.088</w:t>
            </w:r>
          </w:p>
        </w:tc>
      </w:tr>
      <w:tr>
        <w:tc>
          <w:tcPr>
            <w:tcW w:type="dxa" w:w="1234"/>
          </w:tcPr>
          <w:p>
            <w:r>
              <w:rPr>
                <w:sz w:val="16"/>
              </w:rPr>
              <w:t>狭義 主要</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14.23</w:t>
            </w:r>
          </w:p>
        </w:tc>
        <w:tc>
          <w:tcPr>
            <w:tcW w:type="dxa" w:w="1234"/>
          </w:tcPr>
          <w:p>
            <w:r>
              <w:rPr>
                <w:sz w:val="16"/>
              </w:rPr>
              <w:t>0.71–285.03</w:t>
            </w:r>
          </w:p>
        </w:tc>
        <w:tc>
          <w:tcPr>
            <w:tcW w:type="dxa" w:w="1234"/>
          </w:tcPr>
          <w:p>
            <w:r>
              <w:rPr>
                <w:sz w:val="16"/>
              </w:rPr>
              <w:t>0.082</w:t>
            </w:r>
          </w:p>
        </w:tc>
      </w:tr>
      <w:tr>
        <w:tc>
          <w:tcPr>
            <w:tcW w:type="dxa" w:w="1234"/>
          </w:tcPr>
          <w:p>
            <w:r>
              <w:rPr>
                <w:sz w:val="16"/>
              </w:rPr>
              <w:t>狭義 副次</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13.54</w:t>
            </w:r>
          </w:p>
        </w:tc>
        <w:tc>
          <w:tcPr>
            <w:tcW w:type="dxa" w:w="1234"/>
          </w:tcPr>
          <w:p>
            <w:r>
              <w:rPr>
                <w:sz w:val="16"/>
              </w:rPr>
              <w:t>1.71–106.98</w:t>
            </w:r>
          </w:p>
        </w:tc>
        <w:tc>
          <w:tcPr>
            <w:tcW w:type="dxa" w:w="1234"/>
          </w:tcPr>
          <w:p>
            <w:r>
              <w:rPr>
                <w:sz w:val="16"/>
              </w:rPr>
              <w:t>0.013</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2037"/>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2037"/>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8.39（95%CI 1.21–58.18, P = 0.031）と効果量が大幅に増大し、副次評価項目も有意であった（aOR 8.99, 95%CI 2.50–32.29, P &lt; 0.001）。一方、緊急手術のみでは双胎効果は完全に消失した（狭義副次 aOR 0.95, P = 0.958; 狭義主要はイベント数不足のため推定不能）。</w:t>
      </w:r>
    </w:p>
    <w:p>
      <w:r>
        <w:t>興味深いことに、予定手術のみでは制吐薬（広義）副次評価項目で双胎群の方が有意に低率であった（18.5% vs 14.0%, aOR 0.64, P = 0.047）。交互作用解析では、制吐薬（広義）副次評価項目で緊急×双胎の有意な交互作用を認めた（交互作用OR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広義 副次</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狭義 主要</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r>
          </w:p>
        </w:tc>
        <w:tc>
          <w:tcPr>
            <w:tcW w:type="dxa" w:w="1234"/>
          </w:tcPr>
          <w:p>
            <w:r>
              <w:rPr>
                <w:sz w:val="16"/>
              </w:rPr>
              <w:t>狭義 副次</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t>緊急手術のみ</w:t>
            </w:r>
          </w:p>
        </w:tc>
        <w:tc>
          <w:tcPr>
            <w:tcW w:type="dxa" w:w="1234"/>
          </w:tcPr>
          <w:p>
            <w:r>
              <w:rPr>
                <w:sz w:val="16"/>
              </w:rPr>
              <w:t>広義 主要</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広義 副次</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狭義 主要</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r>
        <w:tc>
          <w:tcPr>
            <w:tcW w:type="dxa" w:w="1234"/>
          </w:tcPr>
          <w:p>
            <w:r>
              <w:rPr>
                <w:sz w:val="16"/>
              </w:rPr>
            </w:r>
          </w:p>
        </w:tc>
        <w:tc>
          <w:tcPr>
            <w:tcW w:type="dxa" w:w="1234"/>
          </w:tcPr>
          <w:p>
            <w:r>
              <w:rPr>
                <w:sz w:val="16"/>
              </w:rPr>
              <w:t>狭義 副次</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[0.00–13.05] であり、Wald法95%CI [0.80–14.98] とほぼ一致した。ブートストラップCIも1を除外しており、双胎の有意な効果（aOR 3.46）は頑健であった（収束率99.9%）。</w:t>
      </w:r>
    </w:p>
    <w:p>
      <w:r>
        <w:t>低リスクサブグループでは、制吐薬（狭義）のイベント数が極めて少なく（主要4件、副次8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0.81</w:t>
            </w:r>
          </w:p>
        </w:tc>
        <w:tc>
          <w:tcPr>
            <w:tcW w:type="dxa" w:w="1440"/>
          </w:tcPr>
          <w:p>
            <w:r>
              <w:rPr>
                <w:sz w:val="16"/>
              </w:rPr>
              <w:t>0.31–2.14</w:t>
            </w:r>
          </w:p>
        </w:tc>
        <w:tc>
          <w:tcPr>
            <w:tcW w:type="dxa" w:w="1440"/>
          </w:tcPr>
          <w:p>
            <w:r>
              <w:rPr>
                <w:sz w:val="16"/>
              </w:rPr>
              <w:t>0.17–1.81</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0.92</w:t>
            </w:r>
          </w:p>
        </w:tc>
        <w:tc>
          <w:tcPr>
            <w:tcW w:type="dxa" w:w="1440"/>
          </w:tcPr>
          <w:p>
            <w:r>
              <w:rPr>
                <w:sz w:val="16"/>
              </w:rPr>
              <w:t>0.67–1.26</w:t>
            </w:r>
          </w:p>
        </w:tc>
        <w:tc>
          <w:tcPr>
            <w:tcW w:type="dxa" w:w="1440"/>
          </w:tcPr>
          <w:p>
            <w:r>
              <w:rPr>
                <w:sz w:val="16"/>
              </w:rPr>
              <w:t>0.67–1.27</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3.46</w:t>
            </w:r>
          </w:p>
        </w:tc>
        <w:tc>
          <w:tcPr>
            <w:tcW w:type="dxa" w:w="1440"/>
          </w:tcPr>
          <w:p>
            <w:r>
              <w:rPr>
                <w:sz w:val="16"/>
              </w:rPr>
              <w:t>0.80–14.98</w:t>
            </w:r>
          </w:p>
        </w:tc>
        <w:tc>
          <w:tcPr>
            <w:tcW w:type="dxa" w:w="1440"/>
          </w:tcPr>
          <w:p>
            <w:r>
              <w:rPr>
                <w:sz w:val="16"/>
              </w:rPr>
              <w:t>0.00–13.05</w:t>
            </w:r>
          </w:p>
        </w:tc>
        <w:tc>
          <w:tcPr>
            <w:tcW w:type="dxa" w:w="1440"/>
          </w:tcPr>
          <w:p>
            <w:r>
              <w:rPr>
                <w:sz w:val="16"/>
              </w:rPr>
              <w:t>99.9%</w:t>
            </w:r>
          </w:p>
        </w:tc>
      </w:tr>
      <w:tr>
        <w:tc>
          <w:tcPr>
            <w:tcW w:type="dxa" w:w="1440"/>
          </w:tcPr>
          <w:p>
            <w:r>
              <w:rPr>
                <w:sz w:val="16"/>
              </w:rPr>
            </w:r>
          </w:p>
        </w:tc>
        <w:tc>
          <w:tcPr>
            <w:tcW w:type="dxa" w:w="1440"/>
          </w:tcPr>
          <w:p>
            <w:r>
              <w:rPr>
                <w:sz w:val="16"/>
              </w:rPr>
              <w:t>狭義 副次</w:t>
            </w:r>
          </w:p>
        </w:tc>
        <w:tc>
          <w:tcPr>
            <w:tcW w:type="dxa" w:w="1440"/>
          </w:tcPr>
          <w:p>
            <w:r>
              <w:rPr>
                <w:sz w:val="16"/>
              </w:rPr>
              <w:t>3.16</w:t>
            </w:r>
          </w:p>
        </w:tc>
        <w:tc>
          <w:tcPr>
            <w:tcW w:type="dxa" w:w="1440"/>
          </w:tcPr>
          <w:p>
            <w:r>
              <w:rPr>
                <w:sz w:val="16"/>
              </w:rPr>
              <w:t>1.37–7.32</w:t>
            </w:r>
          </w:p>
        </w:tc>
        <w:tc>
          <w:tcPr>
            <w:tcW w:type="dxa" w:w="1440"/>
          </w:tcPr>
          <w:p>
            <w:r>
              <w:rPr>
                <w:sz w:val="16"/>
              </w:rPr>
              <w:t>1.18–7.12</w:t>
            </w:r>
          </w:p>
        </w:tc>
        <w:tc>
          <w:tcPr>
            <w:tcW w:type="dxa" w:w="1440"/>
          </w:tcPr>
          <w:p>
            <w:r>
              <w:rPr>
                <w:sz w:val="16"/>
              </w:rPr>
              <w:t>100.0%</w:t>
            </w:r>
          </w:p>
        </w:tc>
      </w:tr>
      <w:tr>
        <w:tc>
          <w:tcPr>
            <w:tcW w:type="dxa" w:w="1440"/>
          </w:tcPr>
          <w:p>
            <w:r>
              <w:rPr>
                <w:sz w:val="16"/>
              </w:rPr>
              <w:t>低リスク</w:t>
            </w:r>
          </w:p>
        </w:tc>
        <w:tc>
          <w:tcPr>
            <w:tcW w:type="dxa" w:w="1440"/>
          </w:tcPr>
          <w:p>
            <w:r>
              <w:rPr>
                <w:sz w:val="16"/>
              </w:rPr>
              <w:t>広義 主要</w:t>
            </w:r>
          </w:p>
        </w:tc>
        <w:tc>
          <w:tcPr>
            <w:tcW w:type="dxa" w:w="1440"/>
          </w:tcPr>
          <w:p>
            <w:r>
              <w:rPr>
                <w:sz w:val="16"/>
              </w:rPr>
              <w:t>0.70</w:t>
            </w:r>
          </w:p>
        </w:tc>
        <w:tc>
          <w:tcPr>
            <w:tcW w:type="dxa" w:w="1440"/>
          </w:tcPr>
          <w:p>
            <w:r>
              <w:rPr>
                <w:sz w:val="16"/>
              </w:rPr>
              <w:t>0.22–2.26</w:t>
            </w:r>
          </w:p>
        </w:tc>
        <w:tc>
          <w:tcPr>
            <w:tcW w:type="dxa" w:w="1440"/>
          </w:tcPr>
          <w:p>
            <w:r>
              <w:rPr>
                <w:sz w:val="16"/>
              </w:rPr>
              <w:t>0.14–2.61</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0.60</w:t>
            </w:r>
          </w:p>
        </w:tc>
        <w:tc>
          <w:tcPr>
            <w:tcW w:type="dxa" w:w="1440"/>
          </w:tcPr>
          <w:p>
            <w:r>
              <w:rPr>
                <w:sz w:val="16"/>
              </w:rPr>
              <w:t>0.40–1.07</w:t>
            </w:r>
          </w:p>
        </w:tc>
        <w:tc>
          <w:tcPr>
            <w:tcW w:type="dxa" w:w="1440"/>
          </w:tcPr>
          <w:p>
            <w:r>
              <w:rPr>
                <w:sz w:val="16"/>
              </w:rPr>
              <w:t>0.35–0.97</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14.23</w:t>
            </w:r>
          </w:p>
        </w:tc>
        <w:tc>
          <w:tcPr>
            <w:tcW w:type="dxa" w:w="1440"/>
          </w:tcPr>
          <w:p>
            <w:r>
              <w:rPr>
                <w:sz w:val="16"/>
              </w:rPr>
              <w:t>0.71–285.03</w:t>
            </w:r>
          </w:p>
        </w:tc>
        <w:tc>
          <w:tcPr>
            <w:tcW w:type="dxa" w:w="1440"/>
          </w:tcPr>
          <w:p>
            <w:r>
              <w:rPr>
                <w:sz w:val="16"/>
              </w:rPr>
              <w:t>不安定</w:t>
            </w:r>
          </w:p>
        </w:tc>
        <w:tc>
          <w:tcPr>
            <w:tcW w:type="dxa" w:w="1440"/>
          </w:tcPr>
          <w:p>
            <w:r>
              <w:rPr>
                <w:sz w:val="16"/>
              </w:rPr>
              <w:t>91.0%</w:t>
            </w:r>
          </w:p>
        </w:tc>
      </w:tr>
      <w:tr>
        <w:tc>
          <w:tcPr>
            <w:tcW w:type="dxa" w:w="1440"/>
          </w:tcPr>
          <w:p>
            <w:r>
              <w:rPr>
                <w:sz w:val="16"/>
              </w:rPr>
            </w:r>
          </w:p>
        </w:tc>
        <w:tc>
          <w:tcPr>
            <w:tcW w:type="dxa" w:w="1440"/>
          </w:tcPr>
          <w:p>
            <w:r>
              <w:rPr>
                <w:sz w:val="16"/>
              </w:rPr>
              <w:t>狭義 副次</w:t>
            </w:r>
          </w:p>
        </w:tc>
        <w:tc>
          <w:tcPr>
            <w:tcW w:type="dxa" w:w="1440"/>
          </w:tcPr>
          <w:p>
            <w:r>
              <w:rPr>
                <w:sz w:val="16"/>
              </w:rPr>
              <w:t>13.54</w:t>
            </w:r>
          </w:p>
        </w:tc>
        <w:tc>
          <w:tcPr>
            <w:tcW w:type="dxa" w:w="1440"/>
          </w:tcPr>
          <w:p>
            <w:r>
              <w:rPr>
                <w:sz w:val="16"/>
              </w:rPr>
              <w:t>1.71–106.98</w:t>
            </w:r>
          </w:p>
        </w:tc>
        <w:tc>
          <w:tcPr>
            <w:tcW w:type="dxa" w:w="1440"/>
          </w:tcPr>
          <w:p>
            <w:r>
              <w:rPr>
                <w:sz w:val="16"/>
              </w:rPr>
              <w:t>不安定</w:t>
            </w:r>
          </w:p>
        </w:tc>
        <w:tc>
          <w:tcPr>
            <w:tcW w:type="dxa" w:w="1440"/>
          </w:tcPr>
          <w:p>
            <w:r>
              <w:rPr>
                <w:sz w:val="16"/>
              </w:rPr>
              <w:t>99.7%</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r>
        <w:t>副次アウトカムとして評価した術中低血圧（SBP &lt;90 mmHg）は、双胎群（44.4%）が単胎群（52.9%）より有意に低率であった（P = 0.003）。双胎では循環血液量の増大に伴い、脊髄くも膜下麻酔後の血圧低下に対する代償能が比較的保たれている可能性がある。あるいは、双胎に対してより積極的な血管収縮薬投与が行われた可能性も否定できない。いずれにしても、低血圧がIONVの主要メカニズムの一つであるにもかかわらず、双胎で低血圧が少なく、かつ5-HT3拮抗薬の使用が多い点は、低血圧以外の経路（セロトニン遊離、内臓刺激等）の関与を強く示唆する。</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帝王切開術中IONVに関する先行研究の多くは前向き研究であり、嘔気・嘔吐の発生を患者の自己申告や術中の直接観察によって記録している</w:t>
      </w:r>
      <w:r>
        <w:rPr>
          <w:sz w:val="16"/>
          <w:vertAlign w:val="superscript"/>
        </w:rPr>
        <w:t>3-6,7,9-11</w:t>
      </w:r>
      <w:r>
        <w:t>。一方、本研究では後方視的にカルテデータを用いたため、主観的な嘔気の有無やその程度を直接評価することができず、制吐薬の投与事実をIONVの代替指標として用いた。この手法では、制吐薬がIONV以外の目的（オピオイドによる掻痒感の予防、消化管運動促進等）で投与された可能性を否定できない。しかし、嘔気嘔吐に対する薬理学的特異性が高い5-HT3受容体拮抗薬に限定した狭義の定義を併用することにより、この交絡の影響を最小化した。制吐薬投与をサロゲートマーカーとする手法は本研究に固有の手法であるが、George</w:t>
      </w:r>
      <w:r>
        <w:rPr>
          <w:sz w:val="16"/>
          <w:vertAlign w:val="superscript"/>
        </w:rPr>
        <w:t>10</w:t>
      </w:r>
      <w:r>
        <w:t>らはrescue制吐薬の投与をIONVの副次評価項目として報告しており、制吐薬投与とIONV発生の関連は先行研究でも支持されている。</w:t>
      </w:r>
    </w:p>
    <w:p>
      <w:r>
        <w:t>第二に、制吐薬（狭義）のイベント数が少なく（主解析9件、サブグループ解析4件）、信頼区間が広い点に留意が必要である。ブートストラップ検証により全コホートのaOR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3.18の頑健性は確認されたが、サブグループ解析（イベント8件）ではブートストラップCIも不安定であった。特にサブグループ解析では対象が大幅に減少し（3,164→658例）、外的妥当性が限定される。</w:t>
      </w:r>
    </w:p>
    <w:p>
      <w:r>
        <w:t>第三に、入室時SBP 90 mmHg未満の症例を除外したため、ベースラインの循環動態に対する双胎の影響を十分に評価できていない。双胎は循環血液量の増大と大動脈下大静脈圧迫の増強という相反する循環動態特性を有しており、入室時低血圧の分布が単胎と双胎で異なる可能性がある。除外された12例（単胎11例、双胎1例）は少数であるが、この選択バイアスが術中低血圧の群間比較に影響した可能性は否定できない。</w:t>
      </w:r>
    </w:p>
    <w:p>
      <w:r>
        <w:t>第四に、単施設研究であり、結果の一般化には多施設研究が必要である。</w:t>
      </w:r>
    </w:p>
    <w:p>
      <w:r>
        <w:t>第五に、IONVの重症度を評価できないことも限界である。先行研究では嘔気と嘔吐を分離して報告しているものもあるが{5}、本研究の制吐薬ベースの定義ではこの区別は不可能である。5-HT3拮抗薬の使用がより重度のIONVを反映するという仮説は妥当であるが、前向き研究により嘔気・嘔吐の程度と制吐薬選択の関連を検証する必要がある。</w:t>
      </w:r>
    </w:p>
    <w:p>
      <w:pPr>
        <w:pStyle w:val="Heading2"/>
      </w:pPr>
      <w:r>
        <w:rPr>
          <w:color w:val="000000"/>
        </w:rPr>
        <w:t>解釈と臨床的意義（STROBE項目21）</w:t>
      </w:r>
    </w:p>
    <w:p>
      <w:r>
        <w:t>制吐薬全般のIONV発生率に差がないにもかかわらず、5-HT3拮抗薬の使用が双胎群で高い点は注目に値する。先行研究ではIONVを嘔気・嘔吐の有無で直接定義しているのに対し</w:t>
      </w:r>
      <w:r>
        <w:rPr>
          <w:sz w:val="16"/>
          <w:vertAlign w:val="superscript"/>
        </w:rPr>
        <w:t>3-7,9-11</w:t>
      </w:r>
      <w:r>
        <w:t>、本研究は制吐薬投与をサロゲートマーカーとして用いた。この手法により、先行研究では捉えられなかった『治療を要するIONV』を選択的に検出した可能性があ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IONVの主要な機序は低血圧、迷走神経活動、内臓刺激であるが</w:t>
      </w:r>
      <w:r>
        <w:rPr>
          <w:sz w:val="16"/>
          <w:vertAlign w:val="superscript"/>
        </w:rPr>
        <w:t>2,12</w:t>
      </w:r>
      <w:r>
        <w:t>、双胎妊娠はこれらすべてを増幅しうる生理学的特徴を有する</w:t>
      </w:r>
      <w:r>
        <w:rPr>
          <w:sz w:val="16"/>
          <w:vertAlign w:val="superscript"/>
        </w:rPr>
        <w:t>13</w:t>
      </w:r>
      <w:r>
        <w:t>。本研究の双胎340例を含む3,164例のコホートは、双胎におけるIONVを正面から検討した最大規模の研究であり、この知見はIONVのメカニズム解明に寄与しうる。広義（制吐薬全般）では差がないにもかかわらず狭義（5-HT3拮抗薬）で有意差が出るという結果は、IONVの『量』ではなく『質（重症度・治療必要度）』が双胎で異なる可能性を示唆している。低血圧を共変量として調整済みのモデルで双胎効果が残存することから、低血圧以外の経路（腸管低灌流によるセロトニン遊離、内臓刺激等）の関与が示唆され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8.39、副次評価項目のaORが8.99といずれも有意であった。一方、緊急手術のみでは双胎効果が完全に消失した。広義副次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本研究は地域中核病院の10年間のデータに基づいており、日本における一般的な帝王切開管理を反映している。双胎340例を含む本コホートは、双胎を系統的に除外してきた先行研究</w:t>
      </w:r>
      <w:r>
        <w:rPr>
          <w:sz w:val="16"/>
          <w:vertAlign w:val="superscript"/>
        </w:rPr>
        <w:t>9-11</w:t>
      </w:r>
      <w:r>
        <w:t>とは異なり、双胎におけるIONVを直接検証した最大規模のデータである。ただし、制吐薬の処方パターンは施設や時代によって異なる可能性があり、結果の外挿には注意を要する。今後、前向き多施設研究により双胎におけるIONVのメカニズムを解明することが期待され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Anesth Analg. 1984;63(1):85-87.</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rPr>
          <w:b/>
          <w:sz w:val="18"/>
        </w:rPr>
        <w:t xml:space="preserve">12. </w:t>
      </w:r>
      <w:r>
        <w:rPr>
          <w:sz w:val="18"/>
        </w:rPr>
        <w:t>Jelting Y, Klein C, Harlander T, et al. Preventing nausea and vomiting in women undergoing regional anesthesia for cesarean section: challenges and solutions. Local Reg Anesth. 2017;10:83-90.</w:t>
      </w:r>
    </w:p>
    <w:p>
      <w:r>
        <w:rPr>
          <w:b/>
          <w:sz w:val="18"/>
        </w:rPr>
        <w:t xml:space="preserve">13. </w:t>
      </w:r>
      <w:r>
        <w:rPr>
          <w:sz w:val="18"/>
        </w:rPr>
        <w:t>Farrer JR, Peralta FM. Anaesthesia for the parturient with multiple gestations. BJA Educ. 2022;22(8):306-311.</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3,407 cesarean deliveries assessed, 188 were excluded, leaving 3,164 (singleton 2,824, twin 340) for the primary analysis. A further exclusion of emergency CS, prior CS, HDP, and preoperative steroid yielded a sensitivity subgroup of 658 (singleton 476, twin 182).</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3.47, 95% CI 0.80–14.98).</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19 models yielded aOR in the range 3.12–5.95, all P &lt; 0.05, demonstrating robustness of the twin effect.</w:t>
      </w:r>
    </w:p>
    <w:p>
      <w:pPr>
        <w:spacing w:before="160"/>
      </w:pPr>
      <w:r>
        <w:rPr>
          <w:b/>
          <w:sz w:val="20"/>
        </w:rPr>
        <w:t xml:space="preserve">Fig. 6. </w:t>
      </w:r>
      <w:r>
        <w:rPr>
          <w:sz w:val="20"/>
        </w:rPr>
        <w:t>IONV rates in the elective, low-risk sensitivity subgroup (N = 658)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3.47 (full cohort) to aOR 14.23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