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 w:val="0"/>
          <w:i w:val="0"/>
          <w:sz w:val="22"/>
        </w:rPr>
        <w:t>[Date]</w:t>
      </w:r>
    </w:p>
    <w:p>
      <w:r>
        <w:rPr>
          <w:rFonts w:ascii="Times New Roman" w:hAnsi="Times New Roman"/>
          <w:b w:val="0"/>
          <w:i w:val="0"/>
          <w:sz w:val="22"/>
        </w:rPr>
      </w:r>
    </w:p>
    <w:p>
      <w:r>
        <w:rPr>
          <w:rFonts w:ascii="Times New Roman" w:hAnsi="Times New Roman"/>
          <w:b w:val="0"/>
          <w:i w:val="0"/>
          <w:sz w:val="22"/>
        </w:rPr>
        <w:t>Editor-in-Chief</w:t>
      </w:r>
    </w:p>
    <w:p>
      <w:r>
        <w:rPr>
          <w:rFonts w:ascii="Times New Roman" w:hAnsi="Times New Roman"/>
          <w:b w:val="0"/>
          <w:i w:val="0"/>
          <w:sz w:val="22"/>
        </w:rPr>
        <w:t>Journal of Clinical Monitoring and Computing</w:t>
      </w:r>
    </w:p>
    <w:p>
      <w:r>
        <w:rPr>
          <w:rFonts w:ascii="Times New Roman" w:hAnsi="Times New Roman"/>
          <w:b w:val="0"/>
          <w:i w:val="0"/>
          <w:sz w:val="22"/>
        </w:rPr>
        <w:t>Springer Nature</w:t>
      </w:r>
    </w:p>
    <w:p>
      <w:r>
        <w:rPr>
          <w:rFonts w:ascii="Times New Roman" w:hAnsi="Times New Roman"/>
          <w:b w:val="0"/>
          <w:i w:val="0"/>
          <w:sz w:val="22"/>
        </w:rPr>
      </w:r>
    </w:p>
    <w:p>
      <w:r>
        <w:rPr>
          <w:rFonts w:ascii="Times New Roman" w:hAnsi="Times New Roman"/>
          <w:b w:val="0"/>
          <w:i w:val="0"/>
          <w:sz w:val="22"/>
        </w:rPr>
        <w:t>Dear Editor,</w:t>
      </w:r>
    </w:p>
    <w:p>
      <w:r>
        <w:rPr>
          <w:rFonts w:ascii="Times New Roman" w:hAnsi="Times New Roman"/>
          <w:b w:val="0"/>
          <w:i w:val="0"/>
          <w:sz w:val="22"/>
        </w:rPr>
      </w:r>
    </w:p>
    <w:p>
      <w:r>
        <w:rPr>
          <w:rFonts w:ascii="Times New Roman" w:hAnsi="Times New Roman"/>
          <w:b w:val="0"/>
          <w:i w:val="0"/>
          <w:sz w:val="22"/>
        </w:rPr>
        <w:t>We are pleased to submit our manuscript entitled "Beyond Bland-Altman: Concordance Correlation Coefficient Decomposition for Diagnostic Validation of Haemodynamic Monitors" for consideration as an Original Paper in the Journal of Clinical Monitoring and Computing.</w:t>
      </w:r>
    </w:p>
    <w:p>
      <w:r>
        <w:rPr>
          <w:rFonts w:ascii="Times New Roman" w:hAnsi="Times New Roman"/>
          <w:b w:val="0"/>
          <w:i w:val="0"/>
          <w:sz w:val="22"/>
        </w:rPr>
      </w:r>
    </w:p>
    <w:p>
      <w:r>
        <w:rPr>
          <w:rFonts w:ascii="Times New Roman" w:hAnsi="Times New Roman"/>
          <w:b w:val="0"/>
          <w:i w:val="0"/>
          <w:sz w:val="22"/>
        </w:rPr>
        <w:t>Bland-Altman analysis, percentage error, and polar plots have served as the standard validation toolkit for haemodynamic monitors for decades. However, a fundamental limitation has been overlooked: these methods cannot distinguish whether residual disagreement arises from offset error (correctable by calibration) or gain error (requiring hardware or algorithmic revision). Repeating Bland-Altman analysis across device iterations does not, by itself, resolve this diagnostic gap.</w:t>
      </w:r>
    </w:p>
    <w:p>
      <w:r>
        <w:rPr>
          <w:rFonts w:ascii="Times New Roman" w:hAnsi="Times New Roman"/>
          <w:b w:val="0"/>
          <w:i w:val="0"/>
          <w:sz w:val="22"/>
        </w:rPr>
      </w:r>
    </w:p>
    <w:p>
      <w:r>
        <w:rPr>
          <w:rFonts w:ascii="Times New Roman" w:hAnsi="Times New Roman"/>
          <w:b w:val="0"/>
          <w:i w:val="0"/>
          <w:sz w:val="22"/>
        </w:rPr>
        <w:t>In this paper, we propose Lin's concordance correlation coefficient (CCC) decomposition as a diagnostic complement to Bland-Altman analysis. By decomposing CCC into precision (Pearson's r) and accuracy (bias correction factor C_b), and further decomposing C_b into location shift (u, offset error) and scale shift (v, gain error), we provide a framework that directly addresses the limitation of current validation methods. Through Monte Carlo simulation across four clinically relevant error scenarios, we demonstrate that:</w:t>
      </w:r>
    </w:p>
    <w:p>
      <w:r>
        <w:rPr>
          <w:rFonts w:ascii="Times New Roman" w:hAnsi="Times New Roman"/>
          <w:b w:val="0"/>
          <w:i w:val="0"/>
          <w:sz w:val="22"/>
        </w:rPr>
      </w:r>
    </w:p>
    <w:p>
      <w:r>
        <w:rPr>
          <w:rFonts w:ascii="Times New Roman" w:hAnsi="Times New Roman"/>
          <w:b w:val="0"/>
          <w:i w:val="0"/>
          <w:sz w:val="22"/>
        </w:rPr>
        <w:t>1. Bland-Altman analysis fails to distinguish error structures that CCC decomposition reveals (Scenarios B and C show similar BA profiles but C_b = 1.000 vs. 0.870);</w:t>
      </w:r>
    </w:p>
    <w:p>
      <w:r>
        <w:rPr>
          <w:rFonts w:ascii="Times New Roman" w:hAnsi="Times New Roman"/>
          <w:b w:val="0"/>
          <w:i w:val="0"/>
          <w:sz w:val="22"/>
        </w:rPr>
        <w:t>2. Zero calibration addresses only the location shift (u) component, leaving gain error (v) untouched;</w:t>
      </w:r>
    </w:p>
    <w:p>
      <w:r>
        <w:rPr>
          <w:rFonts w:ascii="Times New Roman" w:hAnsi="Times New Roman"/>
          <w:b w:val="0"/>
          <w:i w:val="0"/>
          <w:sz w:val="22"/>
        </w:rPr>
        <w:t>3. Pulse pressure accuracy serves as an implicit gain validator;</w:t>
      </w:r>
    </w:p>
    <w:p>
      <w:r>
        <w:rPr>
          <w:rFonts w:ascii="Times New Roman" w:hAnsi="Times New Roman"/>
          <w:b w:val="0"/>
          <w:i w:val="0"/>
          <w:sz w:val="22"/>
        </w:rPr>
        <w:t>4. Modern sensor engineering can achieve C_b close to 1.0 by design, rendering certain calibration steps theoretically redundant.</w:t>
      </w:r>
    </w:p>
    <w:p>
      <w:r>
        <w:rPr>
          <w:rFonts w:ascii="Times New Roman" w:hAnsi="Times New Roman"/>
          <w:b w:val="0"/>
          <w:i w:val="0"/>
          <w:sz w:val="22"/>
        </w:rPr>
      </w:r>
    </w:p>
    <w:p>
      <w:r>
        <w:rPr>
          <w:rFonts w:ascii="Times New Roman" w:hAnsi="Times New Roman"/>
          <w:b w:val="0"/>
          <w:i w:val="0"/>
          <w:sz w:val="22"/>
        </w:rPr>
        <w:t>We believe this work is particularly suited for the Journal of Clinical Monitoring and Computing because:</w:t>
      </w:r>
    </w:p>
    <w:p>
      <w:r>
        <w:rPr>
          <w:rFonts w:ascii="Times New Roman" w:hAnsi="Times New Roman"/>
          <w:b w:val="0"/>
          <w:i w:val="0"/>
          <w:sz w:val="22"/>
        </w:rPr>
        <w:t>- The journal published Critchley &amp; Critchley (1999), which established the percentage error criterion that our work builds upon and complements;</w:t>
      </w:r>
    </w:p>
    <w:p>
      <w:r>
        <w:rPr>
          <w:rFonts w:ascii="Times New Roman" w:hAnsi="Times New Roman"/>
          <w:b w:val="0"/>
          <w:i w:val="0"/>
          <w:sz w:val="22"/>
        </w:rPr>
        <w:t>- The validation methodology focus aligns directly with the journal's scope of novel measurements, monitoring, equipment, and technology;</w:t>
      </w:r>
    </w:p>
    <w:p>
      <w:r>
        <w:rPr>
          <w:rFonts w:ascii="Times New Roman" w:hAnsi="Times New Roman"/>
          <w:b w:val="0"/>
          <w:i w:val="0"/>
          <w:sz w:val="22"/>
        </w:rPr>
        <w:t>- The proposed reporting framework (CCC decomposition alongside BA analysis) has immediate practical relevance for the journal's readership of anaesthesiologists, intensivists, and biomedical engineers.</w:t>
      </w:r>
    </w:p>
    <w:p>
      <w:r>
        <w:rPr>
          <w:rFonts w:ascii="Times New Roman" w:hAnsi="Times New Roman"/>
          <w:b w:val="0"/>
          <w:i w:val="0"/>
          <w:sz w:val="22"/>
        </w:rPr>
      </w:r>
    </w:p>
    <w:p>
      <w:r>
        <w:rPr>
          <w:rFonts w:ascii="Times New Roman" w:hAnsi="Times New Roman"/>
          <w:b w:val="0"/>
          <w:i w:val="0"/>
          <w:sz w:val="22"/>
        </w:rPr>
        <w:t>The manuscript contains approximately 4,000 words, 8 figures (4 core + 4 supplementary), and 2 tables. All figures are original. The simulation code is available as supplementary material for reproducibility.</w:t>
      </w:r>
    </w:p>
    <w:p>
      <w:r>
        <w:rPr>
          <w:rFonts w:ascii="Times New Roman" w:hAnsi="Times New Roman"/>
          <w:b w:val="0"/>
          <w:i w:val="0"/>
          <w:sz w:val="22"/>
        </w:rPr>
      </w:r>
    </w:p>
    <w:p>
      <w:r>
        <w:rPr>
          <w:rFonts w:ascii="Times New Roman" w:hAnsi="Times New Roman"/>
          <w:b w:val="0"/>
          <w:i w:val="0"/>
          <w:sz w:val="22"/>
        </w:rPr>
        <w:t>This manuscript has not been published previously and is not under consideration elsewhere. All authors have approved the submitted version.</w:t>
      </w:r>
    </w:p>
    <w:p>
      <w:r>
        <w:rPr>
          <w:rFonts w:ascii="Times New Roman" w:hAnsi="Times New Roman"/>
          <w:b w:val="0"/>
          <w:i w:val="0"/>
          <w:sz w:val="22"/>
        </w:rPr>
      </w:r>
    </w:p>
    <w:p>
      <w:r>
        <w:rPr>
          <w:rFonts w:ascii="Times New Roman" w:hAnsi="Times New Roman"/>
          <w:b w:val="0"/>
          <w:i w:val="0"/>
          <w:sz w:val="22"/>
        </w:rPr>
        <w:t>[Conflict of interest statement to be completed]</w:t>
      </w:r>
    </w:p>
    <w:p>
      <w:r>
        <w:rPr>
          <w:rFonts w:ascii="Times New Roman" w:hAnsi="Times New Roman"/>
          <w:b w:val="0"/>
          <w:i w:val="0"/>
          <w:sz w:val="22"/>
        </w:rPr>
        <w:t>[Funding statement to be completed]</w:t>
      </w:r>
    </w:p>
    <w:p>
      <w:r>
        <w:rPr>
          <w:rFonts w:ascii="Times New Roman" w:hAnsi="Times New Roman"/>
          <w:b w:val="0"/>
          <w:i w:val="0"/>
          <w:sz w:val="22"/>
        </w:rPr>
        <w:t>[AI-assisted writing disclosure to be completed]</w:t>
      </w:r>
    </w:p>
    <w:p>
      <w:r>
        <w:rPr>
          <w:rFonts w:ascii="Times New Roman" w:hAnsi="Times New Roman"/>
          <w:b w:val="0"/>
          <w:i w:val="0"/>
          <w:sz w:val="22"/>
        </w:rPr>
      </w:r>
    </w:p>
    <w:p>
      <w:r>
        <w:rPr>
          <w:rFonts w:ascii="Times New Roman" w:hAnsi="Times New Roman"/>
          <w:b w:val="0"/>
          <w:i w:val="0"/>
          <w:sz w:val="22"/>
        </w:rPr>
        <w:t>We look forward to your consideration.</w:t>
      </w:r>
    </w:p>
    <w:p>
      <w:r>
        <w:rPr>
          <w:rFonts w:ascii="Times New Roman" w:hAnsi="Times New Roman"/>
          <w:b w:val="0"/>
          <w:i w:val="0"/>
          <w:sz w:val="22"/>
        </w:rPr>
      </w:r>
    </w:p>
    <w:p>
      <w:r>
        <w:rPr>
          <w:rFonts w:ascii="Times New Roman" w:hAnsi="Times New Roman"/>
          <w:b w:val="0"/>
          <w:i w:val="0"/>
          <w:sz w:val="22"/>
        </w:rPr>
        <w:t>Sincerely,</w:t>
      </w:r>
    </w:p>
    <w:p>
      <w:r>
        <w:rPr>
          <w:rFonts w:ascii="Times New Roman" w:hAnsi="Times New Roman"/>
          <w:b w:val="0"/>
          <w:i w:val="0"/>
          <w:sz w:val="22"/>
        </w:rPr>
        <w:t>[Corresponding author name]</w:t>
      </w:r>
    </w:p>
    <w:p>
      <w:r>
        <w:rPr>
          <w:rFonts w:ascii="Times New Roman" w:hAnsi="Times New Roman"/>
          <w:b w:val="0"/>
          <w:i w:val="0"/>
          <w:sz w:val="22"/>
        </w:rPr>
        <w:t>[Affiliation]</w:t>
      </w:r>
    </w:p>
    <w:p>
      <w:r>
        <w:rPr>
          <w:rFonts w:ascii="Times New Roman" w:hAnsi="Times New Roman"/>
          <w:b w:val="0"/>
          <w:i w:val="0"/>
          <w:sz w:val="22"/>
        </w:rPr>
        <w:t>[Email]</w:t>
      </w:r>
    </w:p>
    <w:p>
      <w:r>
        <w:rPr>
          <w:rFonts w:ascii="Times New Roman" w:hAnsi="Times New Roman"/>
          <w:b w:val="0"/>
          <w:i w:val="0"/>
          <w:sz w:val="22"/>
        </w:rPr>
        <w:t>[ORCID]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